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1870F" w14:textId="5A0E8786" w:rsidR="00F640AD" w:rsidRPr="00946004" w:rsidRDefault="006D27CE" w:rsidP="009F2082">
      <w:pPr>
        <w:pStyle w:val="Corpotesto"/>
        <w:rPr>
          <w:sz w:val="20"/>
        </w:rPr>
      </w:pPr>
      <w:r>
        <w:rPr>
          <w:sz w:val="20"/>
        </w:rPr>
        <w:t xml:space="preserve">                                          </w:t>
      </w:r>
    </w:p>
    <w:p w14:paraId="7E439684" w14:textId="77777777" w:rsidR="009F2082" w:rsidRDefault="009F2082" w:rsidP="009F2082">
      <w:pPr>
        <w:rPr>
          <w:b/>
          <w:bCs/>
          <w:lang w:val="en-GB"/>
        </w:rPr>
      </w:pPr>
    </w:p>
    <w:p w14:paraId="01F2415D" w14:textId="77777777" w:rsidR="009F2082" w:rsidRPr="00BD59CF" w:rsidRDefault="009F2082" w:rsidP="009F2082">
      <w:pPr>
        <w:rPr>
          <w:b/>
          <w:bCs/>
          <w:sz w:val="18"/>
          <w:szCs w:val="18"/>
          <w:lang w:val="en-GB"/>
        </w:rPr>
      </w:pPr>
    </w:p>
    <w:p w14:paraId="45C2468E" w14:textId="77777777" w:rsidR="009F2082" w:rsidRPr="00CC3AB2" w:rsidRDefault="009F2082" w:rsidP="009F2082">
      <w:pPr>
        <w:widowControl w:val="0"/>
        <w:autoSpaceDE w:val="0"/>
        <w:autoSpaceDN w:val="0"/>
        <w:jc w:val="center"/>
        <w:rPr>
          <w:b/>
          <w:sz w:val="20"/>
          <w:szCs w:val="20"/>
        </w:rPr>
      </w:pPr>
      <w:bookmarkStart w:id="0" w:name="_Hlk166339764"/>
      <w:bookmarkEnd w:id="0"/>
      <w:r w:rsidRPr="00CC3AB2">
        <w:rPr>
          <w:b/>
          <w:noProof/>
          <w:sz w:val="20"/>
          <w:szCs w:val="20"/>
        </w:rPr>
        <w:drawing>
          <wp:inline distT="0" distB="0" distL="0" distR="0" wp14:anchorId="6C39D752" wp14:editId="02064813">
            <wp:extent cx="902174" cy="997457"/>
            <wp:effectExtent l="0" t="0" r="0" b="0"/>
            <wp:docPr id="391207170" name="Immagine 391207170"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Immagine che contiene testo, clipart&#10;&#10;Descrizione generata automaticamente"/>
                    <pic:cNvPicPr/>
                  </pic:nvPicPr>
                  <pic:blipFill>
                    <a:blip r:embed="rId8" cstate="print"/>
                    <a:stretch>
                      <a:fillRect/>
                    </a:stretch>
                  </pic:blipFill>
                  <pic:spPr>
                    <a:xfrm>
                      <a:off x="0" y="0"/>
                      <a:ext cx="902174" cy="997457"/>
                    </a:xfrm>
                    <a:prstGeom prst="rect">
                      <a:avLst/>
                    </a:prstGeom>
                  </pic:spPr>
                </pic:pic>
              </a:graphicData>
            </a:graphic>
          </wp:inline>
        </w:drawing>
      </w:r>
    </w:p>
    <w:p w14:paraId="49199127" w14:textId="77777777" w:rsidR="009F2082" w:rsidRPr="00CC3AB2" w:rsidRDefault="009F2082" w:rsidP="009F2082">
      <w:pPr>
        <w:widowControl w:val="0"/>
        <w:autoSpaceDE w:val="0"/>
        <w:autoSpaceDN w:val="0"/>
        <w:rPr>
          <w:b/>
          <w:sz w:val="20"/>
          <w:szCs w:val="20"/>
        </w:rPr>
      </w:pPr>
    </w:p>
    <w:p w14:paraId="74E24E4C" w14:textId="77777777" w:rsidR="009F2082" w:rsidRPr="00CC3AB2" w:rsidRDefault="009F2082" w:rsidP="009F2082">
      <w:pPr>
        <w:widowControl w:val="0"/>
        <w:autoSpaceDE w:val="0"/>
        <w:autoSpaceDN w:val="0"/>
        <w:spacing w:before="10"/>
        <w:rPr>
          <w:b/>
          <w:sz w:val="20"/>
          <w:szCs w:val="20"/>
        </w:rPr>
      </w:pPr>
    </w:p>
    <w:p w14:paraId="28E29E3D" w14:textId="77777777" w:rsidR="009F2082" w:rsidRPr="00CC3AB2" w:rsidRDefault="009F2082" w:rsidP="009F2082">
      <w:pPr>
        <w:widowControl w:val="0"/>
        <w:autoSpaceDE w:val="0"/>
        <w:autoSpaceDN w:val="0"/>
        <w:jc w:val="center"/>
        <w:rPr>
          <w:b/>
          <w:bCs/>
          <w:color w:val="001F5F"/>
          <w:sz w:val="20"/>
          <w:szCs w:val="20"/>
        </w:rPr>
      </w:pPr>
      <w:r w:rsidRPr="00CC3AB2">
        <w:rPr>
          <w:b/>
          <w:bCs/>
          <w:color w:val="001F5F"/>
          <w:sz w:val="20"/>
          <w:szCs w:val="20"/>
        </w:rPr>
        <w:t>Università degli Studi “G. d’Annunzio”</w:t>
      </w:r>
    </w:p>
    <w:p w14:paraId="18DD61E7" w14:textId="77777777" w:rsidR="009F2082" w:rsidRPr="00CC3AB2" w:rsidRDefault="009F2082" w:rsidP="009F2082">
      <w:pPr>
        <w:widowControl w:val="0"/>
        <w:autoSpaceDE w:val="0"/>
        <w:autoSpaceDN w:val="0"/>
        <w:jc w:val="center"/>
        <w:rPr>
          <w:b/>
          <w:bCs/>
          <w:color w:val="001F5F"/>
          <w:sz w:val="20"/>
          <w:szCs w:val="20"/>
        </w:rPr>
      </w:pPr>
    </w:p>
    <w:p w14:paraId="0001A94C" w14:textId="77777777" w:rsidR="009F2082" w:rsidRPr="009F2082" w:rsidRDefault="009F2082" w:rsidP="009F2082">
      <w:pPr>
        <w:widowControl w:val="0"/>
        <w:autoSpaceDE w:val="0"/>
        <w:autoSpaceDN w:val="0"/>
        <w:jc w:val="center"/>
        <w:rPr>
          <w:b/>
          <w:bCs/>
          <w:color w:val="001F5F"/>
          <w:sz w:val="20"/>
          <w:szCs w:val="20"/>
          <w:lang w:val="en-US"/>
        </w:rPr>
      </w:pPr>
      <w:r w:rsidRPr="009F2082">
        <w:rPr>
          <w:b/>
          <w:bCs/>
          <w:color w:val="001F5F"/>
          <w:sz w:val="20"/>
          <w:szCs w:val="20"/>
          <w:lang w:val="en-US"/>
        </w:rPr>
        <w:t>Chieti</w:t>
      </w:r>
      <w:r w:rsidRPr="009F2082">
        <w:rPr>
          <w:b/>
          <w:bCs/>
          <w:color w:val="001F5F"/>
          <w:spacing w:val="-1"/>
          <w:sz w:val="20"/>
          <w:szCs w:val="20"/>
          <w:lang w:val="en-US"/>
        </w:rPr>
        <w:t xml:space="preserve"> </w:t>
      </w:r>
      <w:r w:rsidRPr="009F2082">
        <w:rPr>
          <w:b/>
          <w:bCs/>
          <w:color w:val="001F5F"/>
          <w:sz w:val="20"/>
          <w:szCs w:val="20"/>
          <w:lang w:val="en-US"/>
        </w:rPr>
        <w:t>– Pescara</w:t>
      </w:r>
    </w:p>
    <w:p w14:paraId="5AC87BEF" w14:textId="77777777" w:rsidR="009F2082" w:rsidRPr="009F2082" w:rsidRDefault="009F2082" w:rsidP="009F2082">
      <w:pPr>
        <w:widowControl w:val="0"/>
        <w:autoSpaceDE w:val="0"/>
        <w:autoSpaceDN w:val="0"/>
        <w:jc w:val="center"/>
        <w:rPr>
          <w:b/>
          <w:bCs/>
          <w:sz w:val="20"/>
          <w:szCs w:val="20"/>
          <w:lang w:val="en-US"/>
        </w:rPr>
      </w:pPr>
    </w:p>
    <w:p w14:paraId="584769EC" w14:textId="77777777" w:rsidR="009F2082" w:rsidRPr="009F2082" w:rsidRDefault="009F2082" w:rsidP="009F2082">
      <w:pPr>
        <w:widowControl w:val="0"/>
        <w:autoSpaceDE w:val="0"/>
        <w:autoSpaceDN w:val="0"/>
        <w:spacing w:before="3"/>
        <w:rPr>
          <w:sz w:val="20"/>
          <w:szCs w:val="20"/>
          <w:lang w:val="en-US"/>
        </w:rPr>
      </w:pPr>
      <w:r w:rsidRPr="00CC3AB2">
        <w:rPr>
          <w:noProof/>
          <w:sz w:val="20"/>
          <w:szCs w:val="20"/>
        </w:rPr>
        <mc:AlternateContent>
          <mc:Choice Requires="wps">
            <w:drawing>
              <wp:anchor distT="0" distB="0" distL="0" distR="0" simplePos="0" relativeHeight="251659264" behindDoc="1" locked="0" layoutInCell="1" allowOverlap="1" wp14:anchorId="4607A7F1" wp14:editId="2EC29462">
                <wp:simplePos x="0" y="0"/>
                <wp:positionH relativeFrom="page">
                  <wp:posOffset>1080770</wp:posOffset>
                </wp:positionH>
                <wp:positionV relativeFrom="paragraph">
                  <wp:posOffset>140970</wp:posOffset>
                </wp:positionV>
                <wp:extent cx="5399405" cy="1270"/>
                <wp:effectExtent l="0" t="0" r="10795" b="11430"/>
                <wp:wrapTopAndBottom/>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9405" cy="1270"/>
                        </a:xfrm>
                        <a:custGeom>
                          <a:avLst/>
                          <a:gdLst>
                            <a:gd name="T0" fmla="+- 0 1702 1702"/>
                            <a:gd name="T1" fmla="*/ T0 w 8503"/>
                            <a:gd name="T2" fmla="+- 0 9493 1702"/>
                            <a:gd name="T3" fmla="*/ T2 w 8503"/>
                            <a:gd name="T4" fmla="+- 0 9506 1702"/>
                            <a:gd name="T5" fmla="*/ T4 w 8503"/>
                            <a:gd name="T6" fmla="+- 0 10205 1702"/>
                            <a:gd name="T7" fmla="*/ T6 w 8503"/>
                          </a:gdLst>
                          <a:ahLst/>
                          <a:cxnLst>
                            <a:cxn ang="0">
                              <a:pos x="T1" y="0"/>
                            </a:cxn>
                            <a:cxn ang="0">
                              <a:pos x="T3" y="0"/>
                            </a:cxn>
                            <a:cxn ang="0">
                              <a:pos x="T5" y="0"/>
                            </a:cxn>
                            <a:cxn ang="0">
                              <a:pos x="T7" y="0"/>
                            </a:cxn>
                          </a:cxnLst>
                          <a:rect l="0" t="0" r="r" b="b"/>
                          <a:pathLst>
                            <a:path w="8503">
                              <a:moveTo>
                                <a:pt x="0" y="0"/>
                              </a:moveTo>
                              <a:lnTo>
                                <a:pt x="7791" y="0"/>
                              </a:lnTo>
                              <a:moveTo>
                                <a:pt x="7804" y="0"/>
                              </a:moveTo>
                              <a:lnTo>
                                <a:pt x="8503" y="0"/>
                              </a:lnTo>
                            </a:path>
                          </a:pathLst>
                        </a:custGeom>
                        <a:noFill/>
                        <a:ln w="7969">
                          <a:solidFill>
                            <a:srgbClr val="001E5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8B231" id="AutoShape 6" o:spid="_x0000_s1026" style="position:absolute;margin-left:85.1pt;margin-top:11.1pt;width:425.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03,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" path="m,l7791,t13,l8503,e" filled="f" strokecolor="#001e5e" strokeweight=".22136mm">
                <v:path arrowok="t" o:connecttype="custom" o:connectlocs="0,0;4947285,0;4955540,0;5399405,0" o:connectangles="0,0,0,0"/>
                <w10:wrap type="topAndBottom" anchorx="page"/>
              </v:shape>
            </w:pict>
          </mc:Fallback>
        </mc:AlternateContent>
      </w:r>
    </w:p>
    <w:p w14:paraId="46B7723A" w14:textId="77777777" w:rsidR="009F2082" w:rsidRPr="009F2082" w:rsidRDefault="009F2082" w:rsidP="009F2082">
      <w:pPr>
        <w:widowControl w:val="0"/>
        <w:autoSpaceDE w:val="0"/>
        <w:autoSpaceDN w:val="0"/>
        <w:spacing w:before="3"/>
        <w:jc w:val="center"/>
        <w:rPr>
          <w:color w:val="001F5F"/>
          <w:sz w:val="20"/>
          <w:szCs w:val="20"/>
          <w:lang w:val="en-US"/>
        </w:rPr>
      </w:pPr>
    </w:p>
    <w:p w14:paraId="06A5FFB4" w14:textId="77777777" w:rsidR="009F2082" w:rsidRPr="009F2082" w:rsidRDefault="009F2082" w:rsidP="009F2082">
      <w:pPr>
        <w:widowControl w:val="0"/>
        <w:pBdr>
          <w:top w:val="nil"/>
          <w:left w:val="nil"/>
          <w:bottom w:val="nil"/>
          <w:right w:val="nil"/>
          <w:between w:val="nil"/>
        </w:pBdr>
        <w:spacing w:before="3"/>
        <w:jc w:val="center"/>
        <w:rPr>
          <w:b/>
          <w:color w:val="000000"/>
          <w:sz w:val="20"/>
          <w:szCs w:val="20"/>
          <w:lang w:val="en-US"/>
        </w:rPr>
      </w:pPr>
      <w:r w:rsidRPr="009F2082">
        <w:rPr>
          <w:b/>
          <w:color w:val="001F5F"/>
          <w:sz w:val="20"/>
          <w:szCs w:val="20"/>
          <w:lang w:val="en-US"/>
        </w:rPr>
        <w:t>DOCTORAL SCHOOL</w:t>
      </w:r>
    </w:p>
    <w:p w14:paraId="294F4DB2" w14:textId="77777777" w:rsidR="009F2082" w:rsidRPr="009F2082" w:rsidRDefault="009F2082" w:rsidP="009F2082">
      <w:pPr>
        <w:widowControl w:val="0"/>
        <w:pBdr>
          <w:top w:val="nil"/>
          <w:left w:val="nil"/>
          <w:bottom w:val="nil"/>
          <w:right w:val="nil"/>
          <w:between w:val="nil"/>
        </w:pBdr>
        <w:spacing w:before="1"/>
        <w:rPr>
          <w:color w:val="001F5F"/>
          <w:sz w:val="20"/>
          <w:szCs w:val="20"/>
          <w:lang w:val="en-US"/>
        </w:rPr>
      </w:pPr>
      <w:bookmarkStart w:id="1" w:name="_gjdgxs" w:colFirst="0" w:colLast="0"/>
      <w:bookmarkEnd w:id="1"/>
    </w:p>
    <w:p w14:paraId="62646D12" w14:textId="77777777" w:rsidR="009F2082" w:rsidRPr="009F2082" w:rsidRDefault="009F2082" w:rsidP="009F2082">
      <w:pPr>
        <w:widowControl w:val="0"/>
        <w:pBdr>
          <w:top w:val="nil"/>
          <w:left w:val="nil"/>
          <w:bottom w:val="nil"/>
          <w:right w:val="nil"/>
          <w:between w:val="nil"/>
        </w:pBdr>
        <w:spacing w:before="1"/>
        <w:jc w:val="center"/>
        <w:rPr>
          <w:b/>
          <w:color w:val="001F5F"/>
          <w:sz w:val="20"/>
          <w:szCs w:val="20"/>
          <w:lang w:val="en-US"/>
        </w:rPr>
      </w:pPr>
    </w:p>
    <w:p w14:paraId="41B92959" w14:textId="77777777" w:rsidR="009F2082" w:rsidRPr="009F2082" w:rsidRDefault="009F2082" w:rsidP="009F2082">
      <w:pPr>
        <w:widowControl w:val="0"/>
        <w:pBdr>
          <w:top w:val="nil"/>
          <w:left w:val="nil"/>
          <w:bottom w:val="nil"/>
          <w:right w:val="nil"/>
          <w:between w:val="nil"/>
        </w:pBdr>
        <w:spacing w:before="1"/>
        <w:jc w:val="center"/>
        <w:rPr>
          <w:b/>
          <w:i/>
          <w:iCs/>
          <w:color w:val="001F5F"/>
          <w:sz w:val="20"/>
          <w:szCs w:val="20"/>
          <w:lang w:val="en-US"/>
        </w:rPr>
      </w:pPr>
      <w:r w:rsidRPr="009F2082">
        <w:rPr>
          <w:b/>
          <w:i/>
          <w:iCs/>
          <w:color w:val="001F5F"/>
          <w:sz w:val="20"/>
          <w:szCs w:val="20"/>
          <w:lang w:val="en-US"/>
        </w:rPr>
        <w:t>Department of Innovative Technologies in Medicine &amp; Dentistry</w:t>
      </w:r>
    </w:p>
    <w:p w14:paraId="7774250E" w14:textId="77777777" w:rsidR="009F2082" w:rsidRPr="009F2082" w:rsidRDefault="009F2082" w:rsidP="009F2082">
      <w:pPr>
        <w:widowControl w:val="0"/>
        <w:pBdr>
          <w:top w:val="nil"/>
          <w:left w:val="nil"/>
          <w:bottom w:val="nil"/>
          <w:right w:val="nil"/>
          <w:between w:val="nil"/>
        </w:pBdr>
        <w:spacing w:before="1"/>
        <w:rPr>
          <w:i/>
          <w:iCs/>
          <w:color w:val="001F5F"/>
          <w:sz w:val="20"/>
          <w:szCs w:val="20"/>
          <w:lang w:val="en-US"/>
        </w:rPr>
      </w:pPr>
    </w:p>
    <w:p w14:paraId="3DBE6F3D" w14:textId="77777777" w:rsidR="009F2082" w:rsidRPr="009F2082" w:rsidRDefault="009F2082" w:rsidP="009F2082">
      <w:pPr>
        <w:widowControl w:val="0"/>
        <w:pBdr>
          <w:top w:val="nil"/>
          <w:left w:val="nil"/>
          <w:bottom w:val="nil"/>
          <w:right w:val="nil"/>
          <w:between w:val="nil"/>
        </w:pBdr>
        <w:spacing w:before="1"/>
        <w:jc w:val="center"/>
        <w:rPr>
          <w:b/>
          <w:color w:val="001F5F"/>
          <w:sz w:val="20"/>
          <w:szCs w:val="20"/>
          <w:lang w:val="en-US"/>
        </w:rPr>
      </w:pPr>
    </w:p>
    <w:p w14:paraId="4DBE593E" w14:textId="77777777" w:rsidR="009F2082" w:rsidRPr="009F2082" w:rsidRDefault="009F2082" w:rsidP="009F2082">
      <w:pPr>
        <w:widowControl w:val="0"/>
        <w:pBdr>
          <w:top w:val="nil"/>
          <w:left w:val="nil"/>
          <w:bottom w:val="nil"/>
          <w:right w:val="nil"/>
          <w:between w:val="nil"/>
        </w:pBdr>
        <w:spacing w:before="1"/>
        <w:jc w:val="center"/>
        <w:rPr>
          <w:b/>
          <w:i/>
          <w:iCs/>
          <w:color w:val="001F5F"/>
          <w:sz w:val="20"/>
          <w:szCs w:val="20"/>
          <w:lang w:val="en-US"/>
        </w:rPr>
      </w:pPr>
      <w:r w:rsidRPr="009F2082">
        <w:rPr>
          <w:b/>
          <w:i/>
          <w:iCs/>
          <w:color w:val="001F5F"/>
          <w:sz w:val="20"/>
          <w:szCs w:val="20"/>
          <w:lang w:val="en-US"/>
        </w:rPr>
        <w:t>Doctoral Program in Innovative Technologies in Medicine &amp; Dentistry 38° cycle</w:t>
      </w:r>
    </w:p>
    <w:p w14:paraId="1A727073" w14:textId="77777777" w:rsidR="009F2082" w:rsidRPr="009F2082" w:rsidRDefault="009F2082" w:rsidP="009F2082">
      <w:pPr>
        <w:widowControl w:val="0"/>
        <w:pBdr>
          <w:top w:val="nil"/>
          <w:left w:val="nil"/>
          <w:bottom w:val="nil"/>
          <w:right w:val="nil"/>
          <w:between w:val="nil"/>
        </w:pBdr>
        <w:spacing w:before="1"/>
        <w:rPr>
          <w:i/>
          <w:iCs/>
          <w:color w:val="001F5F"/>
          <w:sz w:val="20"/>
          <w:szCs w:val="20"/>
          <w:lang w:val="en-US"/>
        </w:rPr>
      </w:pPr>
    </w:p>
    <w:p w14:paraId="3350A5D9" w14:textId="77777777" w:rsidR="009F2082" w:rsidRPr="009F2082" w:rsidRDefault="009F2082" w:rsidP="009F2082">
      <w:pPr>
        <w:widowControl w:val="0"/>
        <w:autoSpaceDE w:val="0"/>
        <w:autoSpaceDN w:val="0"/>
        <w:spacing w:before="176" w:line="360" w:lineRule="auto"/>
        <w:jc w:val="center"/>
        <w:rPr>
          <w:color w:val="002060"/>
          <w:sz w:val="20"/>
          <w:szCs w:val="20"/>
          <w:lang w:val="en-US"/>
        </w:rPr>
      </w:pPr>
    </w:p>
    <w:p w14:paraId="37F746E8" w14:textId="77777777" w:rsidR="009F2082" w:rsidRPr="009F2082" w:rsidRDefault="009F2082" w:rsidP="009F2082">
      <w:pPr>
        <w:widowControl w:val="0"/>
        <w:autoSpaceDE w:val="0"/>
        <w:autoSpaceDN w:val="0"/>
        <w:spacing w:before="176" w:line="360" w:lineRule="auto"/>
        <w:jc w:val="center"/>
        <w:rPr>
          <w:b/>
          <w:bCs/>
          <w:color w:val="002060"/>
          <w:lang w:val="en-US"/>
        </w:rPr>
      </w:pPr>
      <w:r w:rsidRPr="009F2082">
        <w:rPr>
          <w:b/>
          <w:bCs/>
          <w:color w:val="002060"/>
          <w:lang w:val="en-US"/>
        </w:rPr>
        <w:t>Doctoral Thesis</w:t>
      </w:r>
      <w:r w:rsidRPr="009F2082">
        <w:rPr>
          <w:b/>
          <w:bCs/>
          <w:color w:val="002060"/>
          <w:lang w:val="en-US"/>
        </w:rPr>
        <w:br/>
      </w:r>
    </w:p>
    <w:p w14:paraId="2467FA4A" w14:textId="77777777" w:rsidR="009F2082" w:rsidRPr="009F2082" w:rsidRDefault="009F2082" w:rsidP="009F2082">
      <w:pPr>
        <w:spacing w:after="160" w:line="259" w:lineRule="auto"/>
        <w:jc w:val="center"/>
        <w:rPr>
          <w:rFonts w:eastAsia="Calibri"/>
          <w:b/>
          <w:bCs/>
          <w:i/>
          <w:iCs/>
          <w:color w:val="002060"/>
          <w:lang w:val="en-US"/>
        </w:rPr>
      </w:pPr>
      <w:bookmarkStart w:id="2" w:name="_Hlk161166449"/>
      <w:r w:rsidRPr="009F2082">
        <w:rPr>
          <w:rFonts w:eastAsia="Calibri"/>
          <w:b/>
          <w:bCs/>
          <w:i/>
          <w:iCs/>
          <w:color w:val="002060"/>
          <w:lang w:val="en-US"/>
        </w:rPr>
        <w:t>Inflammatory microbial stress: the associative trigger linking oral and systemic diseases</w:t>
      </w:r>
    </w:p>
    <w:p w14:paraId="43F9B1B7" w14:textId="77777777" w:rsidR="009F2082" w:rsidRPr="009F2082" w:rsidRDefault="009F2082" w:rsidP="009F2082">
      <w:pPr>
        <w:spacing w:after="160" w:line="259" w:lineRule="auto"/>
        <w:jc w:val="center"/>
        <w:rPr>
          <w:rFonts w:eastAsia="Calibri"/>
          <w:b/>
          <w:bCs/>
          <w:color w:val="002060"/>
          <w:sz w:val="20"/>
          <w:szCs w:val="20"/>
          <w:lang w:val="en-US"/>
        </w:rPr>
      </w:pPr>
    </w:p>
    <w:p w14:paraId="5D23823C" w14:textId="77777777" w:rsidR="009F2082" w:rsidRPr="009F2082" w:rsidRDefault="009F2082" w:rsidP="009F2082">
      <w:pPr>
        <w:spacing w:after="160" w:line="259" w:lineRule="auto"/>
        <w:jc w:val="center"/>
        <w:rPr>
          <w:rFonts w:eastAsia="Calibri"/>
          <w:b/>
          <w:bCs/>
          <w:color w:val="002060"/>
          <w:sz w:val="20"/>
          <w:szCs w:val="20"/>
          <w:lang w:val="en-US"/>
        </w:rPr>
      </w:pPr>
      <w:r w:rsidRPr="009F2082">
        <w:rPr>
          <w:rFonts w:eastAsia="Calibri"/>
          <w:b/>
          <w:bCs/>
          <w:color w:val="002060"/>
          <w:sz w:val="20"/>
          <w:szCs w:val="20"/>
          <w:lang w:val="en-US"/>
        </w:rPr>
        <w:t xml:space="preserve">       SSD MEDS-16/A</w:t>
      </w:r>
      <w:r w:rsidRPr="009F2082">
        <w:rPr>
          <w:rFonts w:eastAsia="Calibri"/>
          <w:b/>
          <w:bCs/>
          <w:color w:val="002060"/>
          <w:sz w:val="20"/>
          <w:szCs w:val="20"/>
          <w:lang w:val="en-US"/>
        </w:rPr>
        <w:tab/>
      </w:r>
    </w:p>
    <w:bookmarkEnd w:id="2"/>
    <w:p w14:paraId="36481FF3" w14:textId="77777777" w:rsidR="009F2082" w:rsidRPr="009F2082" w:rsidRDefault="009F2082" w:rsidP="009F2082">
      <w:pPr>
        <w:widowControl w:val="0"/>
        <w:autoSpaceDE w:val="0"/>
        <w:autoSpaceDN w:val="0"/>
        <w:jc w:val="center"/>
        <w:rPr>
          <w:color w:val="002060"/>
          <w:sz w:val="20"/>
          <w:szCs w:val="20"/>
          <w:lang w:val="en-US"/>
        </w:rPr>
      </w:pPr>
    </w:p>
    <w:p w14:paraId="07FE7330" w14:textId="77777777" w:rsidR="009F2082" w:rsidRPr="008E7E72" w:rsidRDefault="009F2082" w:rsidP="009F2082">
      <w:pPr>
        <w:tabs>
          <w:tab w:val="right" w:pos="9210"/>
        </w:tabs>
        <w:spacing w:before="150" w:after="160" w:line="259" w:lineRule="auto"/>
        <w:rPr>
          <w:rFonts w:eastAsia="Calibri"/>
          <w:b/>
          <w:color w:val="001F5F"/>
          <w:sz w:val="20"/>
          <w:szCs w:val="20"/>
          <w:lang w:val="en-US"/>
        </w:rPr>
      </w:pPr>
      <w:r w:rsidRPr="008E7E72">
        <w:rPr>
          <w:rFonts w:eastAsia="Calibri"/>
          <w:b/>
          <w:color w:val="001F5F"/>
          <w:sz w:val="20"/>
          <w:szCs w:val="20"/>
          <w:lang w:val="en-US"/>
        </w:rPr>
        <w:t>PhD Candidate:</w:t>
      </w:r>
      <w:r w:rsidRPr="008E7E72">
        <w:rPr>
          <w:rFonts w:eastAsia="Calibri"/>
          <w:b/>
          <w:color w:val="001F5F"/>
          <w:sz w:val="20"/>
          <w:szCs w:val="20"/>
          <w:lang w:val="en-US"/>
        </w:rPr>
        <w:tab/>
        <w:t xml:space="preserve">     Coordinator:</w:t>
      </w:r>
    </w:p>
    <w:p w14:paraId="4795BDF9" w14:textId="77777777" w:rsidR="009F2082" w:rsidRPr="00CC3AB2" w:rsidRDefault="009F2082" w:rsidP="009F2082">
      <w:pPr>
        <w:tabs>
          <w:tab w:val="right" w:pos="9210"/>
        </w:tabs>
        <w:spacing w:before="150" w:after="160" w:line="259" w:lineRule="auto"/>
        <w:rPr>
          <w:rFonts w:eastAsia="Calibri"/>
          <w:bCs/>
          <w:color w:val="001F5F"/>
          <w:sz w:val="20"/>
          <w:szCs w:val="20"/>
        </w:rPr>
      </w:pPr>
      <w:r w:rsidRPr="008E7E72">
        <w:rPr>
          <w:rFonts w:eastAsia="Calibri"/>
          <w:bCs/>
          <w:color w:val="001F5F"/>
          <w:sz w:val="20"/>
          <w:szCs w:val="20"/>
          <w:lang w:val="en-US"/>
        </w:rPr>
        <w:t xml:space="preserve"> </w:t>
      </w:r>
      <w:r>
        <w:rPr>
          <w:rFonts w:eastAsia="Calibri"/>
          <w:bCs/>
          <w:color w:val="001F5F"/>
          <w:sz w:val="20"/>
          <w:szCs w:val="20"/>
        </w:rPr>
        <w:t>Francesca Angiolani</w:t>
      </w:r>
      <w:r w:rsidRPr="00CC3AB2">
        <w:rPr>
          <w:rFonts w:eastAsia="Calibri"/>
          <w:bCs/>
          <w:color w:val="001F5F"/>
          <w:sz w:val="20"/>
          <w:szCs w:val="20"/>
        </w:rPr>
        <w:t xml:space="preserve"> </w:t>
      </w:r>
      <w:r w:rsidRPr="00CC3AB2">
        <w:rPr>
          <w:rFonts w:eastAsia="Calibri"/>
          <w:bCs/>
          <w:color w:val="001F5F"/>
          <w:sz w:val="20"/>
          <w:szCs w:val="20"/>
        </w:rPr>
        <w:tab/>
      </w:r>
      <w:r w:rsidRPr="00CC3AB2">
        <w:rPr>
          <w:rFonts w:eastAsia="Calibri"/>
          <w:bCs/>
          <w:i/>
          <w:iCs/>
          <w:color w:val="001F5F"/>
          <w:sz w:val="20"/>
          <w:szCs w:val="20"/>
        </w:rPr>
        <w:t xml:space="preserve">Chiar.mo Prof. </w:t>
      </w:r>
      <w:r>
        <w:rPr>
          <w:rFonts w:eastAsia="Calibri"/>
          <w:bCs/>
          <w:i/>
          <w:iCs/>
          <w:color w:val="001F5F"/>
          <w:sz w:val="20"/>
          <w:szCs w:val="20"/>
        </w:rPr>
        <w:t>Sergio Caputi</w:t>
      </w:r>
    </w:p>
    <w:p w14:paraId="56A5C283" w14:textId="77777777" w:rsidR="009F2082" w:rsidRPr="00CC3AB2" w:rsidRDefault="009F2082" w:rsidP="009F2082">
      <w:pPr>
        <w:tabs>
          <w:tab w:val="right" w:pos="9210"/>
        </w:tabs>
        <w:spacing w:before="150" w:after="160" w:line="259" w:lineRule="auto"/>
        <w:rPr>
          <w:rFonts w:eastAsia="Calibri"/>
          <w:bCs/>
          <w:color w:val="001F5F"/>
          <w:sz w:val="20"/>
          <w:szCs w:val="20"/>
        </w:rPr>
      </w:pPr>
    </w:p>
    <w:p w14:paraId="3023F940" w14:textId="77777777" w:rsidR="009F2082" w:rsidRPr="00CC3AB2" w:rsidRDefault="009F2082" w:rsidP="009F2082">
      <w:pPr>
        <w:tabs>
          <w:tab w:val="right" w:pos="9210"/>
        </w:tabs>
        <w:spacing w:before="150" w:after="160" w:line="259" w:lineRule="auto"/>
        <w:rPr>
          <w:rFonts w:eastAsia="Calibri"/>
          <w:b/>
          <w:color w:val="001F5F"/>
          <w:sz w:val="20"/>
          <w:szCs w:val="20"/>
        </w:rPr>
      </w:pPr>
      <w:r>
        <w:rPr>
          <w:rFonts w:eastAsia="Calibri"/>
          <w:b/>
          <w:color w:val="001F5F"/>
          <w:sz w:val="20"/>
          <w:szCs w:val="20"/>
        </w:rPr>
        <w:t xml:space="preserve">N. </w:t>
      </w:r>
      <w:proofErr w:type="spellStart"/>
      <w:r w:rsidRPr="00CC3AB2">
        <w:rPr>
          <w:rFonts w:eastAsia="Calibri"/>
          <w:b/>
          <w:color w:val="001F5F"/>
          <w:sz w:val="20"/>
          <w:szCs w:val="20"/>
        </w:rPr>
        <w:t>Matr</w:t>
      </w:r>
      <w:proofErr w:type="spellEnd"/>
      <w:r w:rsidRPr="00CC3AB2">
        <w:rPr>
          <w:rFonts w:eastAsia="Calibri"/>
          <w:b/>
          <w:color w:val="001F5F"/>
          <w:sz w:val="20"/>
          <w:szCs w:val="20"/>
        </w:rPr>
        <w:t>:</w:t>
      </w:r>
      <w:r w:rsidRPr="00CC3AB2">
        <w:rPr>
          <w:rFonts w:eastAsia="Calibri"/>
          <w:b/>
          <w:color w:val="001F5F"/>
          <w:sz w:val="20"/>
          <w:szCs w:val="20"/>
        </w:rPr>
        <w:tab/>
      </w:r>
      <w:r>
        <w:rPr>
          <w:rFonts w:eastAsia="Calibri"/>
          <w:b/>
          <w:color w:val="001F5F"/>
          <w:sz w:val="20"/>
          <w:szCs w:val="20"/>
        </w:rPr>
        <w:t>Tutor:</w:t>
      </w:r>
    </w:p>
    <w:p w14:paraId="6F1DE809" w14:textId="77777777" w:rsidR="009F2082" w:rsidRPr="00CC3AB2" w:rsidRDefault="009F2082" w:rsidP="009F2082">
      <w:pPr>
        <w:tabs>
          <w:tab w:val="right" w:pos="9210"/>
        </w:tabs>
        <w:spacing w:before="150" w:after="160" w:line="259" w:lineRule="auto"/>
        <w:rPr>
          <w:rFonts w:eastAsia="Calibri"/>
          <w:bCs/>
          <w:color w:val="001F5F"/>
          <w:sz w:val="20"/>
          <w:szCs w:val="20"/>
        </w:rPr>
      </w:pPr>
      <w:r w:rsidRPr="00BD59CF">
        <w:rPr>
          <w:rFonts w:eastAsia="Calibri"/>
          <w:bCs/>
          <w:color w:val="001F5F"/>
          <w:sz w:val="20"/>
          <w:szCs w:val="20"/>
        </w:rPr>
        <w:t>323</w:t>
      </w:r>
      <w:r>
        <w:rPr>
          <w:rFonts w:eastAsia="Calibri"/>
          <w:bCs/>
          <w:color w:val="001F5F"/>
          <w:sz w:val="20"/>
          <w:szCs w:val="20"/>
        </w:rPr>
        <w:t>2295</w:t>
      </w:r>
      <w:r w:rsidRPr="00CC3AB2">
        <w:rPr>
          <w:rFonts w:eastAsia="Calibri"/>
          <w:bCs/>
          <w:color w:val="001F5F"/>
          <w:sz w:val="20"/>
          <w:szCs w:val="20"/>
        </w:rPr>
        <w:tab/>
      </w:r>
      <w:r w:rsidRPr="00CC3AB2">
        <w:rPr>
          <w:rFonts w:eastAsia="Calibri"/>
          <w:bCs/>
          <w:i/>
          <w:iCs/>
          <w:color w:val="001F5F"/>
          <w:sz w:val="20"/>
          <w:szCs w:val="20"/>
        </w:rPr>
        <w:t xml:space="preserve">Chiar.mo Prof. </w:t>
      </w:r>
      <w:r w:rsidRPr="00BD59CF">
        <w:rPr>
          <w:rFonts w:eastAsia="Calibri"/>
          <w:bCs/>
          <w:i/>
          <w:iCs/>
          <w:color w:val="001F5F"/>
          <w:sz w:val="20"/>
          <w:szCs w:val="20"/>
        </w:rPr>
        <w:t>Maurizio Piattelli</w:t>
      </w:r>
    </w:p>
    <w:p w14:paraId="695B8EAA" w14:textId="77777777" w:rsidR="009F2082" w:rsidRPr="00CC3AB2" w:rsidRDefault="009F2082" w:rsidP="009F2082">
      <w:pPr>
        <w:widowControl w:val="0"/>
        <w:autoSpaceDE w:val="0"/>
        <w:autoSpaceDN w:val="0"/>
        <w:rPr>
          <w:sz w:val="20"/>
          <w:szCs w:val="20"/>
        </w:rPr>
      </w:pPr>
    </w:p>
    <w:p w14:paraId="787CF116" w14:textId="77777777" w:rsidR="009F2082" w:rsidRPr="00BD59CF" w:rsidRDefault="009F2082" w:rsidP="009F2082">
      <w:pPr>
        <w:widowControl w:val="0"/>
        <w:autoSpaceDE w:val="0"/>
        <w:autoSpaceDN w:val="0"/>
        <w:spacing w:before="10"/>
        <w:jc w:val="center"/>
        <w:rPr>
          <w:rFonts w:eastAsia="Calibri"/>
          <w:b/>
          <w:color w:val="001F5F"/>
          <w:sz w:val="20"/>
          <w:szCs w:val="20"/>
        </w:rPr>
      </w:pPr>
      <w:r w:rsidRPr="00CC3AB2">
        <w:rPr>
          <w:noProof/>
          <w:sz w:val="20"/>
          <w:szCs w:val="20"/>
        </w:rPr>
        <mc:AlternateContent>
          <mc:Choice Requires="wps">
            <w:drawing>
              <wp:anchor distT="0" distB="0" distL="0" distR="0" simplePos="0" relativeHeight="251660288" behindDoc="1" locked="0" layoutInCell="1" allowOverlap="1" wp14:anchorId="79C3372F" wp14:editId="51290022">
                <wp:simplePos x="0" y="0"/>
                <wp:positionH relativeFrom="page">
                  <wp:posOffset>1080135</wp:posOffset>
                </wp:positionH>
                <wp:positionV relativeFrom="paragraph">
                  <wp:posOffset>96520</wp:posOffset>
                </wp:positionV>
                <wp:extent cx="5399405" cy="1270"/>
                <wp:effectExtent l="0" t="0" r="10795" b="11430"/>
                <wp:wrapTopAndBottom/>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9405" cy="1270"/>
                        </a:xfrm>
                        <a:custGeom>
                          <a:avLst/>
                          <a:gdLst>
                            <a:gd name="T0" fmla="+- 0 1702 1702"/>
                            <a:gd name="T1" fmla="*/ T0 w 8503"/>
                            <a:gd name="T2" fmla="+- 0 9493 1702"/>
                            <a:gd name="T3" fmla="*/ T2 w 8503"/>
                            <a:gd name="T4" fmla="+- 0 9506 1702"/>
                            <a:gd name="T5" fmla="*/ T4 w 8503"/>
                            <a:gd name="T6" fmla="+- 0 10205 1702"/>
                            <a:gd name="T7" fmla="*/ T6 w 8503"/>
                          </a:gdLst>
                          <a:ahLst/>
                          <a:cxnLst>
                            <a:cxn ang="0">
                              <a:pos x="T1" y="0"/>
                            </a:cxn>
                            <a:cxn ang="0">
                              <a:pos x="T3" y="0"/>
                            </a:cxn>
                            <a:cxn ang="0">
                              <a:pos x="T5" y="0"/>
                            </a:cxn>
                            <a:cxn ang="0">
                              <a:pos x="T7" y="0"/>
                            </a:cxn>
                          </a:cxnLst>
                          <a:rect l="0" t="0" r="r" b="b"/>
                          <a:pathLst>
                            <a:path w="8503">
                              <a:moveTo>
                                <a:pt x="0" y="0"/>
                              </a:moveTo>
                              <a:lnTo>
                                <a:pt x="7791" y="0"/>
                              </a:lnTo>
                              <a:moveTo>
                                <a:pt x="7804" y="0"/>
                              </a:moveTo>
                              <a:lnTo>
                                <a:pt x="8503" y="0"/>
                              </a:lnTo>
                            </a:path>
                          </a:pathLst>
                        </a:custGeom>
                        <a:noFill/>
                        <a:ln w="7969">
                          <a:solidFill>
                            <a:srgbClr val="001E5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FD752" id="AutoShape 6" o:spid="_x0000_s1026" style="position:absolute;margin-left:85.05pt;margin-top:7.6pt;width:425.1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03,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" path="m,l7791,t13,l8503,e" filled="f" strokecolor="#001e5e" strokeweight=".22136mm">
                <v:path arrowok="t" o:connecttype="custom" o:connectlocs="0,0;4947285,0;4955540,0;5399405,0" o:connectangles="0,0,0,0"/>
                <w10:wrap type="topAndBottom" anchorx="page"/>
              </v:shape>
            </w:pict>
          </mc:Fallback>
        </mc:AlternateContent>
      </w:r>
      <w:r>
        <w:rPr>
          <w:rFonts w:eastAsia="Calibri"/>
          <w:b/>
          <w:color w:val="001F5F"/>
          <w:sz w:val="20"/>
          <w:szCs w:val="20"/>
        </w:rPr>
        <w:t>ACCADEMIC YEAR</w:t>
      </w:r>
      <w:r w:rsidRPr="00CC3AB2">
        <w:rPr>
          <w:rFonts w:eastAsia="Calibri"/>
          <w:b/>
          <w:color w:val="001F5F"/>
          <w:sz w:val="20"/>
          <w:szCs w:val="20"/>
        </w:rPr>
        <w:t xml:space="preserve"> 202</w:t>
      </w:r>
      <w:r>
        <w:rPr>
          <w:rFonts w:eastAsia="Calibri"/>
          <w:b/>
          <w:color w:val="001F5F"/>
          <w:sz w:val="20"/>
          <w:szCs w:val="20"/>
        </w:rPr>
        <w:t>2</w:t>
      </w:r>
      <w:r w:rsidRPr="00CC3AB2">
        <w:rPr>
          <w:rFonts w:eastAsia="Calibri"/>
          <w:b/>
          <w:color w:val="001F5F"/>
          <w:sz w:val="20"/>
          <w:szCs w:val="20"/>
        </w:rPr>
        <w:t>/</w:t>
      </w:r>
      <w:r w:rsidRPr="00BD59CF">
        <w:rPr>
          <w:rFonts w:eastAsia="Calibri"/>
          <w:b/>
          <w:color w:val="001F5F"/>
          <w:sz w:val="20"/>
          <w:szCs w:val="20"/>
        </w:rPr>
        <w:t>20</w:t>
      </w:r>
      <w:r w:rsidRPr="00CC3AB2">
        <w:rPr>
          <w:rFonts w:eastAsia="Calibri"/>
          <w:b/>
          <w:color w:val="001F5F"/>
          <w:sz w:val="20"/>
          <w:szCs w:val="20"/>
        </w:rPr>
        <w:t>2</w:t>
      </w:r>
      <w:r>
        <w:rPr>
          <w:rFonts w:eastAsia="Calibri"/>
          <w:b/>
          <w:color w:val="001F5F"/>
          <w:sz w:val="20"/>
          <w:szCs w:val="20"/>
        </w:rPr>
        <w:t>5</w:t>
      </w:r>
    </w:p>
    <w:p w14:paraId="38A42C82" w14:textId="0D4C550A" w:rsidR="00F640AD" w:rsidRDefault="00F640AD" w:rsidP="00F640AD">
      <w:pPr>
        <w:spacing w:before="91"/>
        <w:ind w:left="2869"/>
        <w:rPr>
          <w:b/>
          <w:sz w:val="20"/>
        </w:rPr>
      </w:pPr>
    </w:p>
    <w:p w14:paraId="446723FE" w14:textId="43DCAC6D" w:rsidR="00F640AD" w:rsidRDefault="00F640AD" w:rsidP="00F640AD">
      <w:pPr>
        <w:spacing w:before="91"/>
        <w:ind w:left="2869"/>
        <w:rPr>
          <w:b/>
          <w:sz w:val="20"/>
        </w:rPr>
      </w:pPr>
    </w:p>
    <w:p w14:paraId="03CFB3AF" w14:textId="77777777" w:rsidR="00F640AD" w:rsidRDefault="00F640AD" w:rsidP="00F640AD">
      <w:pPr>
        <w:spacing w:before="91"/>
        <w:ind w:left="2869"/>
        <w:rPr>
          <w:b/>
          <w:sz w:val="20"/>
        </w:rPr>
      </w:pPr>
    </w:p>
    <w:p w14:paraId="67305B36" w14:textId="02E804D2" w:rsidR="00842074" w:rsidRDefault="00842074"/>
    <w:p w14:paraId="1A0DABAE" w14:textId="197FFF51" w:rsidR="002F7225" w:rsidRDefault="002F7225"/>
    <w:p w14:paraId="5E728D62" w14:textId="6BA6C2F6" w:rsidR="002F7225" w:rsidRDefault="002F7225"/>
    <w:p w14:paraId="779259D0" w14:textId="448C89E8" w:rsidR="002F7225" w:rsidRDefault="002F7225"/>
    <w:p w14:paraId="5E93612C" w14:textId="5703B14C" w:rsidR="002F7225" w:rsidRDefault="002F7225"/>
    <w:p w14:paraId="43B5820E" w14:textId="254B3DF0" w:rsidR="002F7225" w:rsidRDefault="002F7225"/>
    <w:p w14:paraId="5293D469" w14:textId="0C48B124" w:rsidR="002F7225" w:rsidRDefault="002F7225"/>
    <w:p w14:paraId="5BC06241" w14:textId="7E864FF2" w:rsidR="002F7225" w:rsidRDefault="002F7225"/>
    <w:p w14:paraId="01B5EC2E" w14:textId="3B325E87" w:rsidR="002F7225" w:rsidRDefault="002F7225"/>
    <w:p w14:paraId="5853690B" w14:textId="77777777" w:rsidR="000A7188" w:rsidRDefault="000A7188" w:rsidP="002F623C">
      <w:pPr>
        <w:jc w:val="right"/>
        <w:rPr>
          <w:i/>
        </w:rPr>
      </w:pPr>
      <w:r w:rsidRPr="000A7188">
        <w:rPr>
          <w:i/>
        </w:rPr>
        <w:t xml:space="preserve">“Abbi fiducia nel cammino che hai scelto: </w:t>
      </w:r>
    </w:p>
    <w:p w14:paraId="5F698814" w14:textId="77777777" w:rsidR="000A7188" w:rsidRDefault="000A7188" w:rsidP="002F623C">
      <w:pPr>
        <w:jc w:val="right"/>
        <w:rPr>
          <w:i/>
        </w:rPr>
      </w:pPr>
      <w:r w:rsidRPr="000A7188">
        <w:rPr>
          <w:i/>
        </w:rPr>
        <w:t xml:space="preserve">ogni sforzo, anche il più silenzioso, costruisce ciò che diventerai. </w:t>
      </w:r>
    </w:p>
    <w:p w14:paraId="19294DFF" w14:textId="77777777" w:rsidR="000A7188" w:rsidRDefault="000A7188" w:rsidP="002F623C">
      <w:pPr>
        <w:jc w:val="right"/>
        <w:rPr>
          <w:i/>
        </w:rPr>
      </w:pPr>
      <w:r w:rsidRPr="000A7188">
        <w:rPr>
          <w:i/>
        </w:rPr>
        <w:t xml:space="preserve">Non smettere di credere nel valore del tuo impegno, </w:t>
      </w:r>
    </w:p>
    <w:p w14:paraId="3DC65EE1" w14:textId="77777777" w:rsidR="000A7188" w:rsidRDefault="000A7188" w:rsidP="002F623C">
      <w:pPr>
        <w:jc w:val="right"/>
        <w:rPr>
          <w:i/>
        </w:rPr>
      </w:pPr>
      <w:r w:rsidRPr="000A7188">
        <w:rPr>
          <w:i/>
        </w:rPr>
        <w:t xml:space="preserve">perché è lì che nasce il tuo futuro. </w:t>
      </w:r>
    </w:p>
    <w:p w14:paraId="09B857C7" w14:textId="60A1E476" w:rsidR="00A14BC1" w:rsidRDefault="000A7188" w:rsidP="002F623C">
      <w:pPr>
        <w:jc w:val="right"/>
        <w:rPr>
          <w:i/>
        </w:rPr>
      </w:pPr>
      <w:r w:rsidRPr="000A7188">
        <w:rPr>
          <w:i/>
        </w:rPr>
        <w:t>A te stessa, che hai avuto la forza di continuare.”</w:t>
      </w:r>
    </w:p>
    <w:p w14:paraId="6E575FF5" w14:textId="77777777" w:rsidR="00A14BC1" w:rsidRDefault="00A14BC1" w:rsidP="002F623C">
      <w:pPr>
        <w:jc w:val="right"/>
        <w:rPr>
          <w:i/>
        </w:rPr>
      </w:pPr>
    </w:p>
    <w:p w14:paraId="600B39A8" w14:textId="77777777" w:rsidR="00A14BC1" w:rsidRDefault="00A14BC1" w:rsidP="002F623C">
      <w:pPr>
        <w:jc w:val="right"/>
        <w:rPr>
          <w:i/>
        </w:rPr>
      </w:pPr>
    </w:p>
    <w:p w14:paraId="57C9B488" w14:textId="77777777" w:rsidR="00A14BC1" w:rsidRDefault="00A14BC1" w:rsidP="002F623C">
      <w:pPr>
        <w:jc w:val="right"/>
        <w:rPr>
          <w:i/>
        </w:rPr>
      </w:pPr>
    </w:p>
    <w:p w14:paraId="0C8B3341" w14:textId="77777777" w:rsidR="00A14BC1" w:rsidRDefault="00A14BC1" w:rsidP="002F623C">
      <w:pPr>
        <w:jc w:val="right"/>
        <w:rPr>
          <w:i/>
        </w:rPr>
      </w:pPr>
    </w:p>
    <w:p w14:paraId="731A4E93" w14:textId="77777777" w:rsidR="00A14BC1" w:rsidRDefault="00A14BC1" w:rsidP="002F623C">
      <w:pPr>
        <w:jc w:val="right"/>
        <w:rPr>
          <w:i/>
        </w:rPr>
      </w:pPr>
    </w:p>
    <w:p w14:paraId="79849070" w14:textId="6DA60422" w:rsidR="002F7225" w:rsidRPr="00E939C7" w:rsidRDefault="002F7225">
      <w:pPr>
        <w:rPr>
          <w:i/>
        </w:rPr>
      </w:pPr>
    </w:p>
    <w:p w14:paraId="14F9787A" w14:textId="418F97FE" w:rsidR="002F7225" w:rsidRDefault="002F7225"/>
    <w:p w14:paraId="3CC6C38A" w14:textId="30485DED" w:rsidR="002F7225" w:rsidRDefault="002F7225"/>
    <w:p w14:paraId="634809F0" w14:textId="5DB228E8" w:rsidR="002F7225" w:rsidRDefault="002F7225"/>
    <w:p w14:paraId="16D83BA1" w14:textId="00743FD2" w:rsidR="002F7225" w:rsidRDefault="002F7225"/>
    <w:p w14:paraId="06C114D6" w14:textId="38491C67" w:rsidR="002F7225" w:rsidRDefault="002F7225"/>
    <w:p w14:paraId="67D36568" w14:textId="33E641F7" w:rsidR="002F7225" w:rsidRDefault="002F7225"/>
    <w:p w14:paraId="237D6BE3" w14:textId="1DA09E10" w:rsidR="002F7225" w:rsidRDefault="002F7225"/>
    <w:p w14:paraId="35DC80F0" w14:textId="674B48B5" w:rsidR="002F7225" w:rsidRDefault="002F7225"/>
    <w:p w14:paraId="4E313992" w14:textId="517A6C81" w:rsidR="002F7225" w:rsidRDefault="002F7225"/>
    <w:p w14:paraId="60A1823A" w14:textId="2F0DE475" w:rsidR="002F7225" w:rsidRDefault="002F7225"/>
    <w:p w14:paraId="430219DF" w14:textId="42A750C9" w:rsidR="002F7225" w:rsidRDefault="002F7225"/>
    <w:p w14:paraId="27D30184" w14:textId="64EDFE44" w:rsidR="002F7225" w:rsidRDefault="002F7225"/>
    <w:p w14:paraId="19406453" w14:textId="56559406" w:rsidR="002F7225" w:rsidRDefault="002F7225"/>
    <w:p w14:paraId="2C1C9C26" w14:textId="609F1BD8" w:rsidR="002F7225" w:rsidRDefault="002F7225"/>
    <w:p w14:paraId="52FC1698" w14:textId="2BFB98FD" w:rsidR="002F7225" w:rsidRDefault="002F7225"/>
    <w:p w14:paraId="6E28FE98" w14:textId="35BC0182" w:rsidR="002F7225" w:rsidRDefault="002F7225"/>
    <w:p w14:paraId="0892AE79" w14:textId="7E3C0E0D" w:rsidR="002F7225" w:rsidRDefault="002F7225"/>
    <w:p w14:paraId="60F40E78" w14:textId="0DDBF447" w:rsidR="002F7225" w:rsidRDefault="002F7225"/>
    <w:p w14:paraId="4A3703BC" w14:textId="3B972920" w:rsidR="002F7225" w:rsidRDefault="002F7225"/>
    <w:p w14:paraId="311184B2" w14:textId="081C72DD" w:rsidR="002F7225" w:rsidRDefault="002F7225"/>
    <w:p w14:paraId="466F45BA" w14:textId="35D2C850" w:rsidR="002F7225" w:rsidRDefault="002F7225"/>
    <w:p w14:paraId="725B736F" w14:textId="39686961" w:rsidR="002F7225" w:rsidRDefault="002F7225"/>
    <w:p w14:paraId="759F720C" w14:textId="00E71EF7" w:rsidR="002F7225" w:rsidRDefault="002F7225"/>
    <w:p w14:paraId="3D9B8CB9" w14:textId="13726862" w:rsidR="002F7225" w:rsidRDefault="002F7225"/>
    <w:p w14:paraId="6C8DAD47" w14:textId="77777777" w:rsidR="00E16617" w:rsidRDefault="00E16617"/>
    <w:p w14:paraId="5AE5C056" w14:textId="77777777" w:rsidR="00E16617" w:rsidRDefault="00E16617"/>
    <w:p w14:paraId="10C76887" w14:textId="34CC6F26" w:rsidR="00842074" w:rsidRDefault="00842074"/>
    <w:p w14:paraId="152FA6E8" w14:textId="3BE7AEB0" w:rsidR="00DB798D" w:rsidRDefault="00DB798D"/>
    <w:p w14:paraId="19F77F27" w14:textId="77777777" w:rsidR="00F640AD" w:rsidRDefault="00F640AD"/>
    <w:sdt>
      <w:sdtPr>
        <w:rPr>
          <w:rFonts w:ascii="Times New Roman" w:eastAsia="Times New Roman" w:hAnsi="Times New Roman" w:cs="Times New Roman"/>
          <w:bCs w:val="0"/>
          <w:color w:val="auto"/>
          <w:sz w:val="24"/>
          <w:szCs w:val="24"/>
        </w:rPr>
        <w:id w:val="-1561394488"/>
        <w:docPartObj>
          <w:docPartGallery w:val="Table of Contents"/>
          <w:docPartUnique/>
        </w:docPartObj>
      </w:sdtPr>
      <w:sdtEndPr>
        <w:rPr>
          <w:b/>
          <w:noProof/>
        </w:rPr>
      </w:sdtEndPr>
      <w:sdtContent>
        <w:p w14:paraId="621BA8A9" w14:textId="35C40C36" w:rsidR="00046EDB" w:rsidRPr="00F2593A" w:rsidRDefault="002D71BA">
          <w:pPr>
            <w:pStyle w:val="Titolosommario"/>
            <w:rPr>
              <w:rFonts w:ascii="Times New Roman" w:hAnsi="Times New Roman" w:cs="Times New Roman"/>
              <w:color w:val="000000" w:themeColor="text1"/>
              <w:sz w:val="32"/>
              <w:szCs w:val="32"/>
            </w:rPr>
          </w:pPr>
          <w:r w:rsidRPr="00F2593A">
            <w:rPr>
              <w:rFonts w:ascii="Times New Roman" w:hAnsi="Times New Roman" w:cs="Times New Roman"/>
              <w:color w:val="000000" w:themeColor="text1"/>
              <w:sz w:val="32"/>
              <w:szCs w:val="32"/>
            </w:rPr>
            <w:t>IND</w:t>
          </w:r>
          <w:r w:rsidR="00F54C92" w:rsidRPr="00F2593A">
            <w:rPr>
              <w:rFonts w:ascii="Times New Roman" w:hAnsi="Times New Roman" w:cs="Times New Roman"/>
              <w:color w:val="000000" w:themeColor="text1"/>
              <w:sz w:val="32"/>
              <w:szCs w:val="32"/>
            </w:rPr>
            <w:t>EX</w:t>
          </w:r>
        </w:p>
        <w:p w14:paraId="1021174C" w14:textId="4B0E4C36" w:rsidR="00F2593A" w:rsidRDefault="001C39A8">
          <w:pPr>
            <w:pStyle w:val="Sommario1"/>
            <w:rPr>
              <w:rFonts w:eastAsiaTheme="minorEastAsia" w:cstheme="minorBidi"/>
              <w:b w:val="0"/>
              <w:bCs w:val="0"/>
              <w:i w:val="0"/>
              <w:iCs w:val="0"/>
              <w:noProof/>
              <w:kern w:val="2"/>
              <w14:ligatures w14:val="standardContextual"/>
            </w:rPr>
          </w:pPr>
          <w:r>
            <w:fldChar w:fldCharType="begin"/>
          </w:r>
          <w:r>
            <w:instrText xml:space="preserve"> TOC \o "1-5" \h \z \u </w:instrText>
          </w:r>
          <w:r>
            <w:fldChar w:fldCharType="separate"/>
          </w:r>
          <w:hyperlink w:anchor="_Toc219243267" w:history="1">
            <w:r w:rsidR="00F2593A" w:rsidRPr="00AB0879">
              <w:rPr>
                <w:rStyle w:val="Collegamentoipertestuale"/>
                <w:noProof/>
              </w:rPr>
              <w:t>1.</w:t>
            </w:r>
            <w:r w:rsidR="00F2593A">
              <w:rPr>
                <w:rFonts w:eastAsiaTheme="minorEastAsia" w:cstheme="minorBidi"/>
                <w:b w:val="0"/>
                <w:bCs w:val="0"/>
                <w:i w:val="0"/>
                <w:iCs w:val="0"/>
                <w:noProof/>
                <w:kern w:val="2"/>
                <w14:ligatures w14:val="standardContextual"/>
              </w:rPr>
              <w:tab/>
            </w:r>
            <w:r w:rsidR="00F2593A" w:rsidRPr="00AB0879">
              <w:rPr>
                <w:rStyle w:val="Collegamentoipertestuale"/>
                <w:noProof/>
              </w:rPr>
              <w:t>INTRODUCTION</w:t>
            </w:r>
            <w:r w:rsidR="00F2593A">
              <w:rPr>
                <w:noProof/>
                <w:webHidden/>
              </w:rPr>
              <w:tab/>
            </w:r>
            <w:r w:rsidR="00F2593A">
              <w:rPr>
                <w:noProof/>
                <w:webHidden/>
              </w:rPr>
              <w:fldChar w:fldCharType="begin"/>
            </w:r>
            <w:r w:rsidR="00F2593A">
              <w:rPr>
                <w:noProof/>
                <w:webHidden/>
              </w:rPr>
              <w:instrText xml:space="preserve"> PAGEREF _Toc219243267 \h </w:instrText>
            </w:r>
            <w:r w:rsidR="00F2593A">
              <w:rPr>
                <w:noProof/>
                <w:webHidden/>
              </w:rPr>
            </w:r>
            <w:r w:rsidR="00F2593A">
              <w:rPr>
                <w:noProof/>
                <w:webHidden/>
              </w:rPr>
              <w:fldChar w:fldCharType="separate"/>
            </w:r>
            <w:r w:rsidR="00F2593A">
              <w:rPr>
                <w:noProof/>
                <w:webHidden/>
              </w:rPr>
              <w:t>4</w:t>
            </w:r>
            <w:r w:rsidR="00F2593A">
              <w:rPr>
                <w:noProof/>
                <w:webHidden/>
              </w:rPr>
              <w:fldChar w:fldCharType="end"/>
            </w:r>
          </w:hyperlink>
        </w:p>
        <w:p w14:paraId="60876B1D" w14:textId="3CF83D22" w:rsidR="00F2593A" w:rsidRDefault="00F2593A">
          <w:pPr>
            <w:pStyle w:val="Sommario1"/>
            <w:rPr>
              <w:rFonts w:eastAsiaTheme="minorEastAsia" w:cstheme="minorBidi"/>
              <w:b w:val="0"/>
              <w:bCs w:val="0"/>
              <w:i w:val="0"/>
              <w:iCs w:val="0"/>
              <w:noProof/>
              <w:kern w:val="2"/>
              <w14:ligatures w14:val="standardContextual"/>
            </w:rPr>
          </w:pPr>
          <w:hyperlink w:anchor="_Toc219243268" w:history="1">
            <w:r w:rsidRPr="00AB0879">
              <w:rPr>
                <w:rStyle w:val="Collegamentoipertestuale"/>
                <w:noProof/>
                <w:lang w:val="en-US"/>
              </w:rPr>
              <w:t>1.1 Periodontal disease</w:t>
            </w:r>
            <w:r>
              <w:rPr>
                <w:noProof/>
                <w:webHidden/>
              </w:rPr>
              <w:tab/>
            </w:r>
            <w:r>
              <w:rPr>
                <w:noProof/>
                <w:webHidden/>
              </w:rPr>
              <w:fldChar w:fldCharType="begin"/>
            </w:r>
            <w:r>
              <w:rPr>
                <w:noProof/>
                <w:webHidden/>
              </w:rPr>
              <w:instrText xml:space="preserve"> PAGEREF _Toc219243268 \h </w:instrText>
            </w:r>
            <w:r>
              <w:rPr>
                <w:noProof/>
                <w:webHidden/>
              </w:rPr>
            </w:r>
            <w:r>
              <w:rPr>
                <w:noProof/>
                <w:webHidden/>
              </w:rPr>
              <w:fldChar w:fldCharType="separate"/>
            </w:r>
            <w:r>
              <w:rPr>
                <w:noProof/>
                <w:webHidden/>
              </w:rPr>
              <w:t>7</w:t>
            </w:r>
            <w:r>
              <w:rPr>
                <w:noProof/>
                <w:webHidden/>
              </w:rPr>
              <w:fldChar w:fldCharType="end"/>
            </w:r>
          </w:hyperlink>
        </w:p>
        <w:p w14:paraId="462533B1" w14:textId="42F72725" w:rsidR="00F2593A" w:rsidRDefault="00F2593A">
          <w:pPr>
            <w:pStyle w:val="Sommario2"/>
            <w:rPr>
              <w:rFonts w:eastAsiaTheme="minorEastAsia" w:cstheme="minorBidi"/>
              <w:bCs w:val="0"/>
              <w:kern w:val="2"/>
              <w:sz w:val="24"/>
              <w:szCs w:val="24"/>
              <w14:ligatures w14:val="standardContextual"/>
            </w:rPr>
          </w:pPr>
          <w:hyperlink w:anchor="_Toc219243269" w:history="1">
            <w:r w:rsidRPr="00AB0879">
              <w:rPr>
                <w:rStyle w:val="Collegamentoipertestuale"/>
                <w:lang w:val="en-US"/>
              </w:rPr>
              <w:t>1.1.1 Pathogenesis</w:t>
            </w:r>
            <w:r>
              <w:rPr>
                <w:webHidden/>
              </w:rPr>
              <w:tab/>
            </w:r>
            <w:r>
              <w:rPr>
                <w:webHidden/>
              </w:rPr>
              <w:fldChar w:fldCharType="begin"/>
            </w:r>
            <w:r>
              <w:rPr>
                <w:webHidden/>
              </w:rPr>
              <w:instrText xml:space="preserve"> PAGEREF _Toc219243269 \h </w:instrText>
            </w:r>
            <w:r>
              <w:rPr>
                <w:webHidden/>
              </w:rPr>
            </w:r>
            <w:r>
              <w:rPr>
                <w:webHidden/>
              </w:rPr>
              <w:fldChar w:fldCharType="separate"/>
            </w:r>
            <w:r>
              <w:rPr>
                <w:webHidden/>
              </w:rPr>
              <w:t>8</w:t>
            </w:r>
            <w:r>
              <w:rPr>
                <w:webHidden/>
              </w:rPr>
              <w:fldChar w:fldCharType="end"/>
            </w:r>
          </w:hyperlink>
        </w:p>
        <w:p w14:paraId="1C3CE651" w14:textId="4E4706BA" w:rsidR="00F2593A" w:rsidRDefault="00F2593A">
          <w:pPr>
            <w:pStyle w:val="Sommario2"/>
            <w:rPr>
              <w:rFonts w:eastAsiaTheme="minorEastAsia" w:cstheme="minorBidi"/>
              <w:bCs w:val="0"/>
              <w:kern w:val="2"/>
              <w:sz w:val="24"/>
              <w:szCs w:val="24"/>
              <w14:ligatures w14:val="standardContextual"/>
            </w:rPr>
          </w:pPr>
          <w:hyperlink w:anchor="_Toc219243270" w:history="1">
            <w:r w:rsidRPr="00AB0879">
              <w:rPr>
                <w:rStyle w:val="Collegamentoipertestuale"/>
                <w:lang w:val="en-US"/>
              </w:rPr>
              <w:t>1.1.2 Risk factors</w:t>
            </w:r>
            <w:r>
              <w:rPr>
                <w:webHidden/>
              </w:rPr>
              <w:tab/>
            </w:r>
            <w:r>
              <w:rPr>
                <w:webHidden/>
              </w:rPr>
              <w:fldChar w:fldCharType="begin"/>
            </w:r>
            <w:r>
              <w:rPr>
                <w:webHidden/>
              </w:rPr>
              <w:instrText xml:space="preserve"> PAGEREF _Toc219243270 \h </w:instrText>
            </w:r>
            <w:r>
              <w:rPr>
                <w:webHidden/>
              </w:rPr>
            </w:r>
            <w:r>
              <w:rPr>
                <w:webHidden/>
              </w:rPr>
              <w:fldChar w:fldCharType="separate"/>
            </w:r>
            <w:r>
              <w:rPr>
                <w:webHidden/>
              </w:rPr>
              <w:t>11</w:t>
            </w:r>
            <w:r>
              <w:rPr>
                <w:webHidden/>
              </w:rPr>
              <w:fldChar w:fldCharType="end"/>
            </w:r>
          </w:hyperlink>
        </w:p>
        <w:p w14:paraId="675C832C" w14:textId="657822D4" w:rsidR="00F2593A" w:rsidRDefault="00F2593A">
          <w:pPr>
            <w:pStyle w:val="Sommario2"/>
            <w:rPr>
              <w:rFonts w:eastAsiaTheme="minorEastAsia" w:cstheme="minorBidi"/>
              <w:bCs w:val="0"/>
              <w:kern w:val="2"/>
              <w:sz w:val="24"/>
              <w:szCs w:val="24"/>
              <w14:ligatures w14:val="standardContextual"/>
            </w:rPr>
          </w:pPr>
          <w:hyperlink w:anchor="_Toc219243271" w:history="1">
            <w:r w:rsidRPr="00AB0879">
              <w:rPr>
                <w:rStyle w:val="Collegamentoipertestuale"/>
                <w:lang w:val="en-US"/>
              </w:rPr>
              <w:t xml:space="preserve">1.1.3 </w:t>
            </w:r>
            <w:r w:rsidRPr="00AB0879">
              <w:rPr>
                <w:rStyle w:val="Collegamentoipertestuale"/>
                <w:i/>
                <w:iCs/>
                <w:lang w:val="en-US"/>
              </w:rPr>
              <w:t>FUSOBACTERIUM NUCLEATUM</w:t>
            </w:r>
            <w:r>
              <w:rPr>
                <w:webHidden/>
              </w:rPr>
              <w:tab/>
            </w:r>
            <w:r>
              <w:rPr>
                <w:webHidden/>
              </w:rPr>
              <w:fldChar w:fldCharType="begin"/>
            </w:r>
            <w:r>
              <w:rPr>
                <w:webHidden/>
              </w:rPr>
              <w:instrText xml:space="preserve"> PAGEREF _Toc219243271 \h </w:instrText>
            </w:r>
            <w:r>
              <w:rPr>
                <w:webHidden/>
              </w:rPr>
            </w:r>
            <w:r>
              <w:rPr>
                <w:webHidden/>
              </w:rPr>
              <w:fldChar w:fldCharType="separate"/>
            </w:r>
            <w:r>
              <w:rPr>
                <w:webHidden/>
              </w:rPr>
              <w:t>14</w:t>
            </w:r>
            <w:r>
              <w:rPr>
                <w:webHidden/>
              </w:rPr>
              <w:fldChar w:fldCharType="end"/>
            </w:r>
          </w:hyperlink>
        </w:p>
        <w:p w14:paraId="63210F57" w14:textId="58710B1F" w:rsidR="00F2593A" w:rsidRDefault="00F2593A" w:rsidP="00F2593A">
          <w:pPr>
            <w:pStyle w:val="Sommario3"/>
            <w:rPr>
              <w:rFonts w:eastAsiaTheme="minorEastAsia" w:cstheme="minorBidi"/>
              <w:noProof/>
              <w:kern w:val="2"/>
              <w:sz w:val="24"/>
              <w:szCs w:val="24"/>
              <w14:ligatures w14:val="standardContextual"/>
            </w:rPr>
          </w:pPr>
          <w:hyperlink w:anchor="_Toc219243272" w:history="1">
            <w:r w:rsidRPr="00AB0879">
              <w:rPr>
                <w:rStyle w:val="Collegamentoipertestuale"/>
                <w:i/>
                <w:iCs/>
                <w:noProof/>
                <w:lang w:val="en-US"/>
              </w:rPr>
              <w:t>1.1.3.1</w:t>
            </w:r>
            <w:r w:rsidRPr="00AB0879">
              <w:rPr>
                <w:rStyle w:val="Collegamentoipertestuale"/>
                <w:noProof/>
                <w:lang w:val="en-US"/>
              </w:rPr>
              <w:t xml:space="preserve"> </w:t>
            </w:r>
            <w:r w:rsidRPr="00AB0879">
              <w:rPr>
                <w:rStyle w:val="Collegamentoipertestuale"/>
                <w:i/>
                <w:iCs/>
                <w:noProof/>
                <w:lang w:val="en-US"/>
              </w:rPr>
              <w:t>Overview and structural features</w:t>
            </w:r>
            <w:r>
              <w:rPr>
                <w:noProof/>
                <w:webHidden/>
              </w:rPr>
              <w:tab/>
            </w:r>
            <w:r>
              <w:rPr>
                <w:noProof/>
                <w:webHidden/>
              </w:rPr>
              <w:fldChar w:fldCharType="begin"/>
            </w:r>
            <w:r>
              <w:rPr>
                <w:noProof/>
                <w:webHidden/>
              </w:rPr>
              <w:instrText xml:space="preserve"> PAGEREF _Toc219243272 \h </w:instrText>
            </w:r>
            <w:r>
              <w:rPr>
                <w:noProof/>
                <w:webHidden/>
              </w:rPr>
            </w:r>
            <w:r>
              <w:rPr>
                <w:noProof/>
                <w:webHidden/>
              </w:rPr>
              <w:fldChar w:fldCharType="separate"/>
            </w:r>
            <w:r>
              <w:rPr>
                <w:noProof/>
                <w:webHidden/>
              </w:rPr>
              <w:t>14</w:t>
            </w:r>
            <w:r>
              <w:rPr>
                <w:noProof/>
                <w:webHidden/>
              </w:rPr>
              <w:fldChar w:fldCharType="end"/>
            </w:r>
          </w:hyperlink>
        </w:p>
        <w:p w14:paraId="06566D14" w14:textId="244EBB4F" w:rsidR="00F2593A" w:rsidRDefault="00F2593A" w:rsidP="00F2593A">
          <w:pPr>
            <w:pStyle w:val="Sommario3"/>
            <w:rPr>
              <w:rFonts w:eastAsiaTheme="minorEastAsia" w:cstheme="minorBidi"/>
              <w:noProof/>
              <w:kern w:val="2"/>
              <w:sz w:val="24"/>
              <w:szCs w:val="24"/>
              <w14:ligatures w14:val="standardContextual"/>
            </w:rPr>
          </w:pPr>
          <w:hyperlink w:anchor="_Toc219243273" w:history="1">
            <w:r w:rsidRPr="00AB0879">
              <w:rPr>
                <w:rStyle w:val="Collegamentoipertestuale"/>
                <w:i/>
                <w:iCs/>
                <w:noProof/>
                <w:lang w:val="en-US"/>
              </w:rPr>
              <w:t>1.1.3.2 Major Virulence Determinants</w:t>
            </w:r>
            <w:r>
              <w:rPr>
                <w:noProof/>
                <w:webHidden/>
              </w:rPr>
              <w:tab/>
            </w:r>
            <w:r>
              <w:rPr>
                <w:noProof/>
                <w:webHidden/>
              </w:rPr>
              <w:fldChar w:fldCharType="begin"/>
            </w:r>
            <w:r>
              <w:rPr>
                <w:noProof/>
                <w:webHidden/>
              </w:rPr>
              <w:instrText xml:space="preserve"> PAGEREF _Toc219243273 \h </w:instrText>
            </w:r>
            <w:r>
              <w:rPr>
                <w:noProof/>
                <w:webHidden/>
              </w:rPr>
            </w:r>
            <w:r>
              <w:rPr>
                <w:noProof/>
                <w:webHidden/>
              </w:rPr>
              <w:fldChar w:fldCharType="separate"/>
            </w:r>
            <w:r>
              <w:rPr>
                <w:noProof/>
                <w:webHidden/>
              </w:rPr>
              <w:t>17</w:t>
            </w:r>
            <w:r>
              <w:rPr>
                <w:noProof/>
                <w:webHidden/>
              </w:rPr>
              <w:fldChar w:fldCharType="end"/>
            </w:r>
          </w:hyperlink>
        </w:p>
        <w:p w14:paraId="3CA33E08" w14:textId="412264F2" w:rsidR="00F2593A" w:rsidRPr="00F2593A" w:rsidRDefault="00F2593A" w:rsidP="00F2593A">
          <w:pPr>
            <w:pStyle w:val="Sommario2"/>
            <w:spacing w:before="0"/>
            <w:rPr>
              <w:rFonts w:eastAsiaTheme="minorEastAsia" w:cstheme="minorBidi"/>
              <w:bCs w:val="0"/>
              <w:kern w:val="2"/>
              <w14:ligatures w14:val="standardContextual"/>
            </w:rPr>
          </w:pPr>
          <w:hyperlink w:anchor="_Toc219243274" w:history="1">
            <w:r w:rsidRPr="00F2593A">
              <w:rPr>
                <w:rStyle w:val="Collegamentoipertestuale"/>
                <w:i/>
                <w:iCs/>
                <w:sz w:val="20"/>
                <w:szCs w:val="20"/>
                <w:lang w:val="en-US"/>
              </w:rPr>
              <w:t>1.1.3.3 Oral conditions and local pathogenicity</w:t>
            </w:r>
            <w:r w:rsidRPr="00F2593A">
              <w:rPr>
                <w:webHidden/>
                <w:sz w:val="20"/>
                <w:szCs w:val="20"/>
              </w:rPr>
              <w:tab/>
            </w:r>
            <w:r w:rsidRPr="00F2593A">
              <w:rPr>
                <w:webHidden/>
                <w:sz w:val="20"/>
                <w:szCs w:val="20"/>
              </w:rPr>
              <w:fldChar w:fldCharType="begin"/>
            </w:r>
            <w:r w:rsidRPr="00F2593A">
              <w:rPr>
                <w:webHidden/>
                <w:sz w:val="20"/>
                <w:szCs w:val="20"/>
              </w:rPr>
              <w:instrText xml:space="preserve"> PAGEREF _Toc219243274 \h </w:instrText>
            </w:r>
            <w:r w:rsidRPr="00F2593A">
              <w:rPr>
                <w:webHidden/>
                <w:sz w:val="20"/>
                <w:szCs w:val="20"/>
              </w:rPr>
            </w:r>
            <w:r w:rsidRPr="00F2593A">
              <w:rPr>
                <w:webHidden/>
                <w:sz w:val="20"/>
                <w:szCs w:val="20"/>
              </w:rPr>
              <w:fldChar w:fldCharType="separate"/>
            </w:r>
            <w:r>
              <w:rPr>
                <w:webHidden/>
                <w:sz w:val="20"/>
                <w:szCs w:val="20"/>
              </w:rPr>
              <w:t>21</w:t>
            </w:r>
            <w:r w:rsidRPr="00F2593A">
              <w:rPr>
                <w:webHidden/>
                <w:sz w:val="20"/>
                <w:szCs w:val="20"/>
              </w:rPr>
              <w:fldChar w:fldCharType="end"/>
            </w:r>
          </w:hyperlink>
        </w:p>
        <w:p w14:paraId="5D8F815C" w14:textId="6C293381" w:rsidR="00F2593A" w:rsidRPr="00F2593A" w:rsidRDefault="00F2593A" w:rsidP="00F2593A">
          <w:pPr>
            <w:pStyle w:val="Sommario2"/>
            <w:spacing w:before="0"/>
            <w:rPr>
              <w:rFonts w:eastAsiaTheme="minorEastAsia" w:cstheme="minorBidi"/>
              <w:bCs w:val="0"/>
              <w:kern w:val="2"/>
              <w14:ligatures w14:val="standardContextual"/>
            </w:rPr>
          </w:pPr>
          <w:hyperlink w:anchor="_Toc219243275" w:history="1">
            <w:r w:rsidRPr="00F2593A">
              <w:rPr>
                <w:rStyle w:val="Collegamentoipertestuale"/>
                <w:i/>
                <w:iCs/>
                <w:sz w:val="20"/>
                <w:szCs w:val="20"/>
                <w:lang w:val="en-US"/>
              </w:rPr>
              <w:t>1.1.3.4 Systemic involvement and extraoral pathogenicity</w:t>
            </w:r>
            <w:r w:rsidRPr="00F2593A">
              <w:rPr>
                <w:webHidden/>
                <w:sz w:val="20"/>
                <w:szCs w:val="20"/>
              </w:rPr>
              <w:tab/>
            </w:r>
            <w:r w:rsidRPr="00F2593A">
              <w:rPr>
                <w:webHidden/>
                <w:sz w:val="20"/>
                <w:szCs w:val="20"/>
              </w:rPr>
              <w:fldChar w:fldCharType="begin"/>
            </w:r>
            <w:r w:rsidRPr="00F2593A">
              <w:rPr>
                <w:webHidden/>
                <w:sz w:val="20"/>
                <w:szCs w:val="20"/>
              </w:rPr>
              <w:instrText xml:space="preserve"> PAGEREF _Toc219243275 \h </w:instrText>
            </w:r>
            <w:r w:rsidRPr="00F2593A">
              <w:rPr>
                <w:webHidden/>
                <w:sz w:val="20"/>
                <w:szCs w:val="20"/>
              </w:rPr>
            </w:r>
            <w:r w:rsidRPr="00F2593A">
              <w:rPr>
                <w:webHidden/>
                <w:sz w:val="20"/>
                <w:szCs w:val="20"/>
              </w:rPr>
              <w:fldChar w:fldCharType="separate"/>
            </w:r>
            <w:r>
              <w:rPr>
                <w:webHidden/>
                <w:sz w:val="20"/>
                <w:szCs w:val="20"/>
              </w:rPr>
              <w:t>22</w:t>
            </w:r>
            <w:r w:rsidRPr="00F2593A">
              <w:rPr>
                <w:webHidden/>
                <w:sz w:val="20"/>
                <w:szCs w:val="20"/>
              </w:rPr>
              <w:fldChar w:fldCharType="end"/>
            </w:r>
          </w:hyperlink>
        </w:p>
        <w:p w14:paraId="6562990F" w14:textId="246CA0F2" w:rsidR="00F2593A" w:rsidRDefault="00F2593A">
          <w:pPr>
            <w:pStyle w:val="Sommario2"/>
            <w:rPr>
              <w:rFonts w:eastAsiaTheme="minorEastAsia" w:cstheme="minorBidi"/>
              <w:bCs w:val="0"/>
              <w:kern w:val="2"/>
              <w:sz w:val="24"/>
              <w:szCs w:val="24"/>
              <w14:ligatures w14:val="standardContextual"/>
            </w:rPr>
          </w:pPr>
          <w:hyperlink w:anchor="_Toc219243276" w:history="1">
            <w:r w:rsidRPr="00AB0879">
              <w:rPr>
                <w:rStyle w:val="Collegamentoipertestuale"/>
                <w:lang w:val="en-US"/>
              </w:rPr>
              <w:t>1.1.4</w:t>
            </w:r>
            <w:r w:rsidRPr="00AB0879">
              <w:rPr>
                <w:rStyle w:val="Collegamentoipertestuale"/>
                <w:i/>
                <w:iCs/>
                <w:lang w:val="en-US"/>
              </w:rPr>
              <w:t xml:space="preserve"> PREVOTELLA INTERMEDIA</w:t>
            </w:r>
            <w:r>
              <w:rPr>
                <w:webHidden/>
              </w:rPr>
              <w:tab/>
            </w:r>
            <w:r>
              <w:rPr>
                <w:webHidden/>
              </w:rPr>
              <w:fldChar w:fldCharType="begin"/>
            </w:r>
            <w:r>
              <w:rPr>
                <w:webHidden/>
              </w:rPr>
              <w:instrText xml:space="preserve"> PAGEREF _Toc219243276 \h </w:instrText>
            </w:r>
            <w:r>
              <w:rPr>
                <w:webHidden/>
              </w:rPr>
            </w:r>
            <w:r>
              <w:rPr>
                <w:webHidden/>
              </w:rPr>
              <w:fldChar w:fldCharType="separate"/>
            </w:r>
            <w:r>
              <w:rPr>
                <w:webHidden/>
              </w:rPr>
              <w:t>25</w:t>
            </w:r>
            <w:r>
              <w:rPr>
                <w:webHidden/>
              </w:rPr>
              <w:fldChar w:fldCharType="end"/>
            </w:r>
          </w:hyperlink>
        </w:p>
        <w:p w14:paraId="1296D135" w14:textId="6DA575BA" w:rsidR="00F2593A" w:rsidRDefault="00F2593A">
          <w:pPr>
            <w:pStyle w:val="Sommario3"/>
            <w:rPr>
              <w:rFonts w:eastAsiaTheme="minorEastAsia" w:cstheme="minorBidi"/>
              <w:noProof/>
              <w:kern w:val="2"/>
              <w:sz w:val="24"/>
              <w:szCs w:val="24"/>
              <w14:ligatures w14:val="standardContextual"/>
            </w:rPr>
          </w:pPr>
          <w:hyperlink w:anchor="_Toc219243277" w:history="1">
            <w:r w:rsidRPr="00AB0879">
              <w:rPr>
                <w:rStyle w:val="Collegamentoipertestuale"/>
                <w:i/>
                <w:iCs/>
                <w:noProof/>
                <w:lang w:val="en-US"/>
              </w:rPr>
              <w:t>1.1.4.1 Overview and structural features</w:t>
            </w:r>
            <w:r>
              <w:rPr>
                <w:noProof/>
                <w:webHidden/>
              </w:rPr>
              <w:tab/>
            </w:r>
            <w:r>
              <w:rPr>
                <w:noProof/>
                <w:webHidden/>
              </w:rPr>
              <w:fldChar w:fldCharType="begin"/>
            </w:r>
            <w:r>
              <w:rPr>
                <w:noProof/>
                <w:webHidden/>
              </w:rPr>
              <w:instrText xml:space="preserve"> PAGEREF _Toc219243277 \h </w:instrText>
            </w:r>
            <w:r>
              <w:rPr>
                <w:noProof/>
                <w:webHidden/>
              </w:rPr>
            </w:r>
            <w:r>
              <w:rPr>
                <w:noProof/>
                <w:webHidden/>
              </w:rPr>
              <w:fldChar w:fldCharType="separate"/>
            </w:r>
            <w:r>
              <w:rPr>
                <w:noProof/>
                <w:webHidden/>
              </w:rPr>
              <w:t>25</w:t>
            </w:r>
            <w:r>
              <w:rPr>
                <w:noProof/>
                <w:webHidden/>
              </w:rPr>
              <w:fldChar w:fldCharType="end"/>
            </w:r>
          </w:hyperlink>
        </w:p>
        <w:p w14:paraId="3EE4A24A" w14:textId="13505EB7" w:rsidR="00F2593A" w:rsidRDefault="00F2593A">
          <w:pPr>
            <w:pStyle w:val="Sommario3"/>
            <w:rPr>
              <w:rFonts w:eastAsiaTheme="minorEastAsia" w:cstheme="minorBidi"/>
              <w:noProof/>
              <w:kern w:val="2"/>
              <w:sz w:val="24"/>
              <w:szCs w:val="24"/>
              <w14:ligatures w14:val="standardContextual"/>
            </w:rPr>
          </w:pPr>
          <w:hyperlink w:anchor="_Toc219243278" w:history="1">
            <w:r w:rsidRPr="00AB0879">
              <w:rPr>
                <w:rStyle w:val="Collegamentoipertestuale"/>
                <w:i/>
                <w:iCs/>
                <w:noProof/>
                <w:lang w:val="en-US"/>
              </w:rPr>
              <w:t>1.1.4.2</w:t>
            </w:r>
            <w:r w:rsidRPr="00AB0879">
              <w:rPr>
                <w:rStyle w:val="Collegamentoipertestuale"/>
                <w:noProof/>
                <w:lang w:val="en-US"/>
              </w:rPr>
              <w:t xml:space="preserve"> </w:t>
            </w:r>
            <w:r w:rsidRPr="00AB0879">
              <w:rPr>
                <w:rStyle w:val="Collegamentoipertestuale"/>
                <w:i/>
                <w:iCs/>
                <w:noProof/>
                <w:lang w:val="en-US"/>
              </w:rPr>
              <w:t>Virulence Factors of</w:t>
            </w:r>
            <w:r w:rsidRPr="00AB0879">
              <w:rPr>
                <w:rStyle w:val="Collegamentoipertestuale"/>
                <w:noProof/>
                <w:lang w:val="en-US"/>
              </w:rPr>
              <w:t xml:space="preserve"> </w:t>
            </w:r>
            <w:r w:rsidRPr="00AB0879">
              <w:rPr>
                <w:rStyle w:val="Collegamentoipertestuale"/>
                <w:i/>
                <w:iCs/>
                <w:noProof/>
                <w:lang w:val="en-US"/>
              </w:rPr>
              <w:t>Prevotella intermedia</w:t>
            </w:r>
            <w:r>
              <w:rPr>
                <w:noProof/>
                <w:webHidden/>
              </w:rPr>
              <w:tab/>
            </w:r>
            <w:r>
              <w:rPr>
                <w:noProof/>
                <w:webHidden/>
              </w:rPr>
              <w:fldChar w:fldCharType="begin"/>
            </w:r>
            <w:r>
              <w:rPr>
                <w:noProof/>
                <w:webHidden/>
              </w:rPr>
              <w:instrText xml:space="preserve"> PAGEREF _Toc219243278 \h </w:instrText>
            </w:r>
            <w:r>
              <w:rPr>
                <w:noProof/>
                <w:webHidden/>
              </w:rPr>
            </w:r>
            <w:r>
              <w:rPr>
                <w:noProof/>
                <w:webHidden/>
              </w:rPr>
              <w:fldChar w:fldCharType="separate"/>
            </w:r>
            <w:r>
              <w:rPr>
                <w:noProof/>
                <w:webHidden/>
              </w:rPr>
              <w:t>27</w:t>
            </w:r>
            <w:r>
              <w:rPr>
                <w:noProof/>
                <w:webHidden/>
              </w:rPr>
              <w:fldChar w:fldCharType="end"/>
            </w:r>
          </w:hyperlink>
        </w:p>
        <w:p w14:paraId="6432C806" w14:textId="0F0C979C" w:rsidR="00F2593A" w:rsidRDefault="00F2593A">
          <w:pPr>
            <w:pStyle w:val="Sommario3"/>
            <w:rPr>
              <w:rFonts w:eastAsiaTheme="minorEastAsia" w:cstheme="minorBidi"/>
              <w:noProof/>
              <w:kern w:val="2"/>
              <w:sz w:val="24"/>
              <w:szCs w:val="24"/>
              <w14:ligatures w14:val="standardContextual"/>
            </w:rPr>
          </w:pPr>
          <w:hyperlink w:anchor="_Toc219243279" w:history="1">
            <w:r w:rsidRPr="00AB0879">
              <w:rPr>
                <w:rStyle w:val="Collegamentoipertestuale"/>
                <w:i/>
                <w:iCs/>
                <w:noProof/>
                <w:lang w:val="en-US"/>
              </w:rPr>
              <w:t>1.1.4.3</w:t>
            </w:r>
            <w:r w:rsidRPr="00AB0879">
              <w:rPr>
                <w:rStyle w:val="Collegamentoipertestuale"/>
                <w:noProof/>
                <w:lang w:val="en-US"/>
              </w:rPr>
              <w:t xml:space="preserve"> </w:t>
            </w:r>
            <w:r w:rsidRPr="00AB0879">
              <w:rPr>
                <w:rStyle w:val="Collegamentoipertestuale"/>
                <w:i/>
                <w:iCs/>
                <w:noProof/>
                <w:lang w:val="en-US"/>
              </w:rPr>
              <w:t>Oral conditions</w:t>
            </w:r>
            <w:r>
              <w:rPr>
                <w:noProof/>
                <w:webHidden/>
              </w:rPr>
              <w:tab/>
            </w:r>
            <w:r>
              <w:rPr>
                <w:noProof/>
                <w:webHidden/>
              </w:rPr>
              <w:fldChar w:fldCharType="begin"/>
            </w:r>
            <w:r>
              <w:rPr>
                <w:noProof/>
                <w:webHidden/>
              </w:rPr>
              <w:instrText xml:space="preserve"> PAGEREF _Toc219243279 \h </w:instrText>
            </w:r>
            <w:r>
              <w:rPr>
                <w:noProof/>
                <w:webHidden/>
              </w:rPr>
            </w:r>
            <w:r>
              <w:rPr>
                <w:noProof/>
                <w:webHidden/>
              </w:rPr>
              <w:fldChar w:fldCharType="separate"/>
            </w:r>
            <w:r>
              <w:rPr>
                <w:noProof/>
                <w:webHidden/>
              </w:rPr>
              <w:t>31</w:t>
            </w:r>
            <w:r>
              <w:rPr>
                <w:noProof/>
                <w:webHidden/>
              </w:rPr>
              <w:fldChar w:fldCharType="end"/>
            </w:r>
          </w:hyperlink>
        </w:p>
        <w:p w14:paraId="0B30718A" w14:textId="191004A2" w:rsidR="00F2593A" w:rsidRDefault="00F2593A">
          <w:pPr>
            <w:pStyle w:val="Sommario3"/>
            <w:rPr>
              <w:rFonts w:eastAsiaTheme="minorEastAsia" w:cstheme="minorBidi"/>
              <w:noProof/>
              <w:kern w:val="2"/>
              <w:sz w:val="24"/>
              <w:szCs w:val="24"/>
              <w14:ligatures w14:val="standardContextual"/>
            </w:rPr>
          </w:pPr>
          <w:hyperlink w:anchor="_Toc219243280" w:history="1">
            <w:r w:rsidRPr="00AB0879">
              <w:rPr>
                <w:rStyle w:val="Collegamentoipertestuale"/>
                <w:i/>
                <w:iCs/>
                <w:noProof/>
                <w:lang w:val="en-US"/>
              </w:rPr>
              <w:t>1.1.4.4</w:t>
            </w:r>
            <w:r w:rsidRPr="00AB0879">
              <w:rPr>
                <w:rStyle w:val="Collegamentoipertestuale"/>
                <w:noProof/>
                <w:lang w:val="en-US"/>
              </w:rPr>
              <w:t xml:space="preserve"> </w:t>
            </w:r>
            <w:r w:rsidRPr="00AB0879">
              <w:rPr>
                <w:rStyle w:val="Collegamentoipertestuale"/>
                <w:i/>
                <w:iCs/>
                <w:noProof/>
                <w:lang w:val="en-US"/>
              </w:rPr>
              <w:t>Sistemic involvement and extraoral pathogenicity</w:t>
            </w:r>
            <w:r>
              <w:rPr>
                <w:noProof/>
                <w:webHidden/>
              </w:rPr>
              <w:tab/>
            </w:r>
            <w:r>
              <w:rPr>
                <w:noProof/>
                <w:webHidden/>
              </w:rPr>
              <w:fldChar w:fldCharType="begin"/>
            </w:r>
            <w:r>
              <w:rPr>
                <w:noProof/>
                <w:webHidden/>
              </w:rPr>
              <w:instrText xml:space="preserve"> PAGEREF _Toc219243280 \h </w:instrText>
            </w:r>
            <w:r>
              <w:rPr>
                <w:noProof/>
                <w:webHidden/>
              </w:rPr>
            </w:r>
            <w:r>
              <w:rPr>
                <w:noProof/>
                <w:webHidden/>
              </w:rPr>
              <w:fldChar w:fldCharType="separate"/>
            </w:r>
            <w:r>
              <w:rPr>
                <w:noProof/>
                <w:webHidden/>
              </w:rPr>
              <w:t>33</w:t>
            </w:r>
            <w:r>
              <w:rPr>
                <w:noProof/>
                <w:webHidden/>
              </w:rPr>
              <w:fldChar w:fldCharType="end"/>
            </w:r>
          </w:hyperlink>
        </w:p>
        <w:p w14:paraId="5C806910" w14:textId="721CD352" w:rsidR="00F2593A" w:rsidRDefault="00F2593A">
          <w:pPr>
            <w:pStyle w:val="Sommario1"/>
            <w:rPr>
              <w:rFonts w:eastAsiaTheme="minorEastAsia" w:cstheme="minorBidi"/>
              <w:b w:val="0"/>
              <w:bCs w:val="0"/>
              <w:i w:val="0"/>
              <w:iCs w:val="0"/>
              <w:noProof/>
              <w:kern w:val="2"/>
              <w14:ligatures w14:val="standardContextual"/>
            </w:rPr>
          </w:pPr>
          <w:hyperlink w:anchor="_Toc219243281" w:history="1">
            <w:r w:rsidRPr="00AB0879">
              <w:rPr>
                <w:rStyle w:val="Collegamentoipertestuale"/>
                <w:noProof/>
                <w:lang w:val="en-US"/>
              </w:rPr>
              <w:t>1.2 Correlations with systemic conditions</w:t>
            </w:r>
            <w:r>
              <w:rPr>
                <w:noProof/>
                <w:webHidden/>
              </w:rPr>
              <w:tab/>
            </w:r>
            <w:r>
              <w:rPr>
                <w:noProof/>
                <w:webHidden/>
              </w:rPr>
              <w:fldChar w:fldCharType="begin"/>
            </w:r>
            <w:r>
              <w:rPr>
                <w:noProof/>
                <w:webHidden/>
              </w:rPr>
              <w:instrText xml:space="preserve"> PAGEREF _Toc219243281 \h </w:instrText>
            </w:r>
            <w:r>
              <w:rPr>
                <w:noProof/>
                <w:webHidden/>
              </w:rPr>
            </w:r>
            <w:r>
              <w:rPr>
                <w:noProof/>
                <w:webHidden/>
              </w:rPr>
              <w:fldChar w:fldCharType="separate"/>
            </w:r>
            <w:r>
              <w:rPr>
                <w:noProof/>
                <w:webHidden/>
              </w:rPr>
              <w:t>37</w:t>
            </w:r>
            <w:r>
              <w:rPr>
                <w:noProof/>
                <w:webHidden/>
              </w:rPr>
              <w:fldChar w:fldCharType="end"/>
            </w:r>
          </w:hyperlink>
        </w:p>
        <w:p w14:paraId="454B71EA" w14:textId="016D545A" w:rsidR="00F2593A" w:rsidRDefault="00F2593A">
          <w:pPr>
            <w:pStyle w:val="Sommario2"/>
            <w:rPr>
              <w:rFonts w:eastAsiaTheme="minorEastAsia" w:cstheme="minorBidi"/>
              <w:bCs w:val="0"/>
              <w:kern w:val="2"/>
              <w:sz w:val="24"/>
              <w:szCs w:val="24"/>
              <w14:ligatures w14:val="standardContextual"/>
            </w:rPr>
          </w:pPr>
          <w:hyperlink w:anchor="_Toc219243282" w:history="1">
            <w:r w:rsidRPr="00AB0879">
              <w:rPr>
                <w:rStyle w:val="Collegamentoipertestuale"/>
                <w:lang w:val="en-US"/>
              </w:rPr>
              <w:t>1.2.1 Female reproductive disorders</w:t>
            </w:r>
            <w:r>
              <w:rPr>
                <w:webHidden/>
              </w:rPr>
              <w:tab/>
            </w:r>
            <w:r>
              <w:rPr>
                <w:webHidden/>
              </w:rPr>
              <w:fldChar w:fldCharType="begin"/>
            </w:r>
            <w:r>
              <w:rPr>
                <w:webHidden/>
              </w:rPr>
              <w:instrText xml:space="preserve"> PAGEREF _Toc219243282 \h </w:instrText>
            </w:r>
            <w:r>
              <w:rPr>
                <w:webHidden/>
              </w:rPr>
            </w:r>
            <w:r>
              <w:rPr>
                <w:webHidden/>
              </w:rPr>
              <w:fldChar w:fldCharType="separate"/>
            </w:r>
            <w:r>
              <w:rPr>
                <w:webHidden/>
              </w:rPr>
              <w:t>41</w:t>
            </w:r>
            <w:r>
              <w:rPr>
                <w:webHidden/>
              </w:rPr>
              <w:fldChar w:fldCharType="end"/>
            </w:r>
          </w:hyperlink>
        </w:p>
        <w:p w14:paraId="7A5DF572" w14:textId="592A26CD" w:rsidR="00F2593A" w:rsidRDefault="00F2593A">
          <w:pPr>
            <w:pStyle w:val="Sommario2"/>
            <w:rPr>
              <w:rFonts w:eastAsiaTheme="minorEastAsia" w:cstheme="minorBidi"/>
              <w:bCs w:val="0"/>
              <w:kern w:val="2"/>
              <w:sz w:val="24"/>
              <w:szCs w:val="24"/>
              <w14:ligatures w14:val="standardContextual"/>
            </w:rPr>
          </w:pPr>
          <w:hyperlink w:anchor="_Toc219243283" w:history="1">
            <w:r w:rsidRPr="00AB0879">
              <w:rPr>
                <w:rStyle w:val="Collegamentoipertestuale"/>
                <w:lang w:val="en-US"/>
              </w:rPr>
              <w:t>1.2.2 ENDOMETRIOSIS</w:t>
            </w:r>
            <w:r>
              <w:rPr>
                <w:webHidden/>
              </w:rPr>
              <w:tab/>
            </w:r>
            <w:r>
              <w:rPr>
                <w:webHidden/>
              </w:rPr>
              <w:fldChar w:fldCharType="begin"/>
            </w:r>
            <w:r>
              <w:rPr>
                <w:webHidden/>
              </w:rPr>
              <w:instrText xml:space="preserve"> PAGEREF _Toc219243283 \h </w:instrText>
            </w:r>
            <w:r>
              <w:rPr>
                <w:webHidden/>
              </w:rPr>
            </w:r>
            <w:r>
              <w:rPr>
                <w:webHidden/>
              </w:rPr>
              <w:fldChar w:fldCharType="separate"/>
            </w:r>
            <w:r>
              <w:rPr>
                <w:webHidden/>
              </w:rPr>
              <w:t>45</w:t>
            </w:r>
            <w:r>
              <w:rPr>
                <w:webHidden/>
              </w:rPr>
              <w:fldChar w:fldCharType="end"/>
            </w:r>
          </w:hyperlink>
        </w:p>
        <w:p w14:paraId="019E15A5" w14:textId="6F28876B" w:rsidR="00F2593A" w:rsidRPr="00F2593A" w:rsidRDefault="00F2593A" w:rsidP="00F2593A">
          <w:pPr>
            <w:pStyle w:val="Sommario2"/>
            <w:spacing w:before="0"/>
            <w:ind w:left="238" w:hanging="238"/>
            <w:rPr>
              <w:rFonts w:eastAsiaTheme="minorEastAsia" w:cstheme="minorBidi"/>
              <w:bCs w:val="0"/>
              <w:kern w:val="2"/>
              <w:sz w:val="20"/>
              <w:szCs w:val="20"/>
              <w14:ligatures w14:val="standardContextual"/>
            </w:rPr>
          </w:pPr>
          <w:hyperlink w:anchor="_Toc219243284" w:history="1">
            <w:r w:rsidRPr="00F2593A">
              <w:rPr>
                <w:rStyle w:val="Collegamentoipertestuale"/>
                <w:i/>
                <w:iCs/>
                <w:sz w:val="20"/>
                <w:szCs w:val="20"/>
                <w:lang w:val="en-US"/>
              </w:rPr>
              <w:t>1.2.2.1 Prevalence, Pathogenesis, and Classification</w:t>
            </w:r>
            <w:r w:rsidRPr="00F2593A">
              <w:rPr>
                <w:webHidden/>
                <w:sz w:val="20"/>
                <w:szCs w:val="20"/>
              </w:rPr>
              <w:tab/>
            </w:r>
            <w:r w:rsidRPr="00F2593A">
              <w:rPr>
                <w:webHidden/>
                <w:sz w:val="20"/>
                <w:szCs w:val="20"/>
              </w:rPr>
              <w:fldChar w:fldCharType="begin"/>
            </w:r>
            <w:r w:rsidRPr="00F2593A">
              <w:rPr>
                <w:webHidden/>
                <w:sz w:val="20"/>
                <w:szCs w:val="20"/>
              </w:rPr>
              <w:instrText xml:space="preserve"> PAGEREF _Toc219243284 \h </w:instrText>
            </w:r>
            <w:r w:rsidRPr="00F2593A">
              <w:rPr>
                <w:webHidden/>
                <w:sz w:val="20"/>
                <w:szCs w:val="20"/>
              </w:rPr>
            </w:r>
            <w:r w:rsidRPr="00F2593A">
              <w:rPr>
                <w:webHidden/>
                <w:sz w:val="20"/>
                <w:szCs w:val="20"/>
              </w:rPr>
              <w:fldChar w:fldCharType="separate"/>
            </w:r>
            <w:r>
              <w:rPr>
                <w:webHidden/>
                <w:sz w:val="20"/>
                <w:szCs w:val="20"/>
              </w:rPr>
              <w:t>45</w:t>
            </w:r>
            <w:r w:rsidRPr="00F2593A">
              <w:rPr>
                <w:webHidden/>
                <w:sz w:val="20"/>
                <w:szCs w:val="20"/>
              </w:rPr>
              <w:fldChar w:fldCharType="end"/>
            </w:r>
          </w:hyperlink>
        </w:p>
        <w:p w14:paraId="28B11EE7" w14:textId="2B97DAE1" w:rsidR="00F2593A" w:rsidRPr="00F2593A" w:rsidRDefault="00F2593A">
          <w:pPr>
            <w:pStyle w:val="Sommario3"/>
            <w:rPr>
              <w:rFonts w:eastAsiaTheme="minorEastAsia" w:cstheme="minorBidi"/>
              <w:noProof/>
              <w:kern w:val="2"/>
              <w14:ligatures w14:val="standardContextual"/>
            </w:rPr>
          </w:pPr>
          <w:hyperlink w:anchor="_Toc219243285" w:history="1">
            <w:r w:rsidRPr="00F2593A">
              <w:rPr>
                <w:rStyle w:val="Collegamentoipertestuale"/>
                <w:i/>
                <w:iCs/>
                <w:noProof/>
                <w:lang w:val="en-US"/>
              </w:rPr>
              <w:t>1.2.2.2 Clinical Subtypes, Diagnosis, and Symptomatology</w:t>
            </w:r>
            <w:r w:rsidRPr="00F2593A">
              <w:rPr>
                <w:noProof/>
                <w:webHidden/>
              </w:rPr>
              <w:tab/>
            </w:r>
            <w:r w:rsidRPr="00F2593A">
              <w:rPr>
                <w:noProof/>
                <w:webHidden/>
              </w:rPr>
              <w:fldChar w:fldCharType="begin"/>
            </w:r>
            <w:r w:rsidRPr="00F2593A">
              <w:rPr>
                <w:noProof/>
                <w:webHidden/>
              </w:rPr>
              <w:instrText xml:space="preserve"> PAGEREF _Toc219243285 \h </w:instrText>
            </w:r>
            <w:r w:rsidRPr="00F2593A">
              <w:rPr>
                <w:noProof/>
                <w:webHidden/>
              </w:rPr>
            </w:r>
            <w:r w:rsidRPr="00F2593A">
              <w:rPr>
                <w:noProof/>
                <w:webHidden/>
              </w:rPr>
              <w:fldChar w:fldCharType="separate"/>
            </w:r>
            <w:r>
              <w:rPr>
                <w:noProof/>
                <w:webHidden/>
              </w:rPr>
              <w:t>52</w:t>
            </w:r>
            <w:r w:rsidRPr="00F2593A">
              <w:rPr>
                <w:noProof/>
                <w:webHidden/>
              </w:rPr>
              <w:fldChar w:fldCharType="end"/>
            </w:r>
          </w:hyperlink>
        </w:p>
        <w:p w14:paraId="2DFB5418" w14:textId="6038C804" w:rsidR="00F2593A" w:rsidRPr="00F2593A" w:rsidRDefault="00F2593A">
          <w:pPr>
            <w:pStyle w:val="Sommario3"/>
            <w:rPr>
              <w:rFonts w:eastAsiaTheme="minorEastAsia" w:cstheme="minorBidi"/>
              <w:noProof/>
              <w:kern w:val="2"/>
              <w14:ligatures w14:val="standardContextual"/>
            </w:rPr>
          </w:pPr>
          <w:hyperlink w:anchor="_Toc219243286" w:history="1">
            <w:r w:rsidRPr="00F2593A">
              <w:rPr>
                <w:rStyle w:val="Collegamentoipertestuale"/>
                <w:i/>
                <w:iCs/>
                <w:noProof/>
                <w:lang w:val="en-US"/>
              </w:rPr>
              <w:t>1.2.2.3 Management and Treatment of Endometriosis</w:t>
            </w:r>
            <w:r w:rsidRPr="00F2593A">
              <w:rPr>
                <w:noProof/>
                <w:webHidden/>
              </w:rPr>
              <w:tab/>
            </w:r>
            <w:r w:rsidRPr="00F2593A">
              <w:rPr>
                <w:noProof/>
                <w:webHidden/>
              </w:rPr>
              <w:fldChar w:fldCharType="begin"/>
            </w:r>
            <w:r w:rsidRPr="00F2593A">
              <w:rPr>
                <w:noProof/>
                <w:webHidden/>
              </w:rPr>
              <w:instrText xml:space="preserve"> PAGEREF _Toc219243286 \h </w:instrText>
            </w:r>
            <w:r w:rsidRPr="00F2593A">
              <w:rPr>
                <w:noProof/>
                <w:webHidden/>
              </w:rPr>
            </w:r>
            <w:r w:rsidRPr="00F2593A">
              <w:rPr>
                <w:noProof/>
                <w:webHidden/>
              </w:rPr>
              <w:fldChar w:fldCharType="separate"/>
            </w:r>
            <w:r>
              <w:rPr>
                <w:noProof/>
                <w:webHidden/>
              </w:rPr>
              <w:t>59</w:t>
            </w:r>
            <w:r w:rsidRPr="00F2593A">
              <w:rPr>
                <w:noProof/>
                <w:webHidden/>
              </w:rPr>
              <w:fldChar w:fldCharType="end"/>
            </w:r>
          </w:hyperlink>
        </w:p>
        <w:p w14:paraId="1DD5E956" w14:textId="20B6C1FC" w:rsidR="00F2593A" w:rsidRDefault="00F2593A">
          <w:pPr>
            <w:pStyle w:val="Sommario1"/>
            <w:rPr>
              <w:rFonts w:eastAsiaTheme="minorEastAsia" w:cstheme="minorBidi"/>
              <w:b w:val="0"/>
              <w:bCs w:val="0"/>
              <w:i w:val="0"/>
              <w:iCs w:val="0"/>
              <w:noProof/>
              <w:kern w:val="2"/>
              <w14:ligatures w14:val="standardContextual"/>
            </w:rPr>
          </w:pPr>
          <w:hyperlink w:anchor="_Toc219243287" w:history="1">
            <w:r w:rsidRPr="00AB0879">
              <w:rPr>
                <w:rStyle w:val="Collegamentoipertestuale"/>
                <w:noProof/>
                <w:lang w:val="en-US"/>
              </w:rPr>
              <w:t>2.</w:t>
            </w:r>
            <w:r>
              <w:rPr>
                <w:rFonts w:eastAsiaTheme="minorEastAsia" w:cstheme="minorBidi"/>
                <w:b w:val="0"/>
                <w:bCs w:val="0"/>
                <w:i w:val="0"/>
                <w:iCs w:val="0"/>
                <w:noProof/>
                <w:kern w:val="2"/>
                <w14:ligatures w14:val="standardContextual"/>
              </w:rPr>
              <w:tab/>
            </w:r>
            <w:r w:rsidRPr="00AB0879">
              <w:rPr>
                <w:rStyle w:val="Collegamentoipertestuale"/>
                <w:noProof/>
                <w:lang w:val="en-US"/>
              </w:rPr>
              <w:t>AIM OF THE STUDY</w:t>
            </w:r>
            <w:r>
              <w:rPr>
                <w:noProof/>
                <w:webHidden/>
              </w:rPr>
              <w:tab/>
            </w:r>
            <w:r>
              <w:rPr>
                <w:noProof/>
                <w:webHidden/>
              </w:rPr>
              <w:fldChar w:fldCharType="begin"/>
            </w:r>
            <w:r>
              <w:rPr>
                <w:noProof/>
                <w:webHidden/>
              </w:rPr>
              <w:instrText xml:space="preserve"> PAGEREF _Toc219243287 \h </w:instrText>
            </w:r>
            <w:r>
              <w:rPr>
                <w:noProof/>
                <w:webHidden/>
              </w:rPr>
            </w:r>
            <w:r>
              <w:rPr>
                <w:noProof/>
                <w:webHidden/>
              </w:rPr>
              <w:fldChar w:fldCharType="separate"/>
            </w:r>
            <w:r>
              <w:rPr>
                <w:noProof/>
                <w:webHidden/>
              </w:rPr>
              <w:t>62</w:t>
            </w:r>
            <w:r>
              <w:rPr>
                <w:noProof/>
                <w:webHidden/>
              </w:rPr>
              <w:fldChar w:fldCharType="end"/>
            </w:r>
          </w:hyperlink>
        </w:p>
        <w:p w14:paraId="32654473" w14:textId="1990C79B" w:rsidR="00F2593A" w:rsidRDefault="00F2593A">
          <w:pPr>
            <w:pStyle w:val="Sommario1"/>
            <w:rPr>
              <w:rFonts w:eastAsiaTheme="minorEastAsia" w:cstheme="minorBidi"/>
              <w:b w:val="0"/>
              <w:bCs w:val="0"/>
              <w:i w:val="0"/>
              <w:iCs w:val="0"/>
              <w:noProof/>
              <w:kern w:val="2"/>
              <w14:ligatures w14:val="standardContextual"/>
            </w:rPr>
          </w:pPr>
          <w:hyperlink w:anchor="_Toc219243288" w:history="1">
            <w:r w:rsidRPr="00AB0879">
              <w:rPr>
                <w:rStyle w:val="Collegamentoipertestuale"/>
                <w:noProof/>
              </w:rPr>
              <w:t>3.</w:t>
            </w:r>
            <w:r>
              <w:rPr>
                <w:rFonts w:eastAsiaTheme="minorEastAsia" w:cstheme="minorBidi"/>
                <w:b w:val="0"/>
                <w:bCs w:val="0"/>
                <w:i w:val="0"/>
                <w:iCs w:val="0"/>
                <w:noProof/>
                <w:kern w:val="2"/>
                <w14:ligatures w14:val="standardContextual"/>
              </w:rPr>
              <w:tab/>
            </w:r>
            <w:r w:rsidRPr="00AB0879">
              <w:rPr>
                <w:rStyle w:val="Collegamentoipertestuale"/>
                <w:noProof/>
              </w:rPr>
              <w:t>MATERERIALS AND METHODS</w:t>
            </w:r>
            <w:r>
              <w:rPr>
                <w:noProof/>
                <w:webHidden/>
              </w:rPr>
              <w:tab/>
            </w:r>
            <w:r>
              <w:rPr>
                <w:noProof/>
                <w:webHidden/>
              </w:rPr>
              <w:fldChar w:fldCharType="begin"/>
            </w:r>
            <w:r>
              <w:rPr>
                <w:noProof/>
                <w:webHidden/>
              </w:rPr>
              <w:instrText xml:space="preserve"> PAGEREF _Toc219243288 \h </w:instrText>
            </w:r>
            <w:r>
              <w:rPr>
                <w:noProof/>
                <w:webHidden/>
              </w:rPr>
            </w:r>
            <w:r>
              <w:rPr>
                <w:noProof/>
                <w:webHidden/>
              </w:rPr>
              <w:fldChar w:fldCharType="separate"/>
            </w:r>
            <w:r>
              <w:rPr>
                <w:noProof/>
                <w:webHidden/>
              </w:rPr>
              <w:t>63</w:t>
            </w:r>
            <w:r>
              <w:rPr>
                <w:noProof/>
                <w:webHidden/>
              </w:rPr>
              <w:fldChar w:fldCharType="end"/>
            </w:r>
          </w:hyperlink>
        </w:p>
        <w:p w14:paraId="71FFB472" w14:textId="3E6161A3" w:rsidR="00F2593A" w:rsidRDefault="00F2593A">
          <w:pPr>
            <w:pStyle w:val="Sommario2"/>
            <w:rPr>
              <w:rFonts w:eastAsiaTheme="minorEastAsia" w:cstheme="minorBidi"/>
              <w:bCs w:val="0"/>
              <w:kern w:val="2"/>
              <w:sz w:val="24"/>
              <w:szCs w:val="24"/>
              <w14:ligatures w14:val="standardContextual"/>
            </w:rPr>
          </w:pPr>
          <w:hyperlink w:anchor="_Toc219243289" w:history="1">
            <w:r w:rsidRPr="00AB0879">
              <w:rPr>
                <w:rStyle w:val="Collegamentoipertestuale"/>
                <w:lang w:val="en-US"/>
              </w:rPr>
              <w:t>3.1 Type of the study</w:t>
            </w:r>
            <w:r>
              <w:rPr>
                <w:webHidden/>
              </w:rPr>
              <w:tab/>
            </w:r>
            <w:r>
              <w:rPr>
                <w:webHidden/>
              </w:rPr>
              <w:fldChar w:fldCharType="begin"/>
            </w:r>
            <w:r>
              <w:rPr>
                <w:webHidden/>
              </w:rPr>
              <w:instrText xml:space="preserve"> PAGEREF _Toc219243289 \h </w:instrText>
            </w:r>
            <w:r>
              <w:rPr>
                <w:webHidden/>
              </w:rPr>
            </w:r>
            <w:r>
              <w:rPr>
                <w:webHidden/>
              </w:rPr>
              <w:fldChar w:fldCharType="separate"/>
            </w:r>
            <w:r>
              <w:rPr>
                <w:webHidden/>
              </w:rPr>
              <w:t>63</w:t>
            </w:r>
            <w:r>
              <w:rPr>
                <w:webHidden/>
              </w:rPr>
              <w:fldChar w:fldCharType="end"/>
            </w:r>
          </w:hyperlink>
        </w:p>
        <w:p w14:paraId="79BA789A" w14:textId="3B9AFCC3" w:rsidR="00F2593A" w:rsidRDefault="00F2593A">
          <w:pPr>
            <w:pStyle w:val="Sommario2"/>
            <w:rPr>
              <w:rFonts w:eastAsiaTheme="minorEastAsia" w:cstheme="minorBidi"/>
              <w:bCs w:val="0"/>
              <w:kern w:val="2"/>
              <w:sz w:val="24"/>
              <w:szCs w:val="24"/>
              <w14:ligatures w14:val="standardContextual"/>
            </w:rPr>
          </w:pPr>
          <w:hyperlink w:anchor="_Toc219243290" w:history="1">
            <w:r w:rsidRPr="00AB0879">
              <w:rPr>
                <w:rStyle w:val="Collegamentoipertestuale"/>
                <w:lang w:val="en-US"/>
              </w:rPr>
              <w:t>3.2 Population and patient selection criteria</w:t>
            </w:r>
            <w:r>
              <w:rPr>
                <w:webHidden/>
              </w:rPr>
              <w:tab/>
            </w:r>
            <w:r>
              <w:rPr>
                <w:webHidden/>
              </w:rPr>
              <w:fldChar w:fldCharType="begin"/>
            </w:r>
            <w:r>
              <w:rPr>
                <w:webHidden/>
              </w:rPr>
              <w:instrText xml:space="preserve"> PAGEREF _Toc219243290 \h </w:instrText>
            </w:r>
            <w:r>
              <w:rPr>
                <w:webHidden/>
              </w:rPr>
            </w:r>
            <w:r>
              <w:rPr>
                <w:webHidden/>
              </w:rPr>
              <w:fldChar w:fldCharType="separate"/>
            </w:r>
            <w:r>
              <w:rPr>
                <w:webHidden/>
              </w:rPr>
              <w:t>63</w:t>
            </w:r>
            <w:r>
              <w:rPr>
                <w:webHidden/>
              </w:rPr>
              <w:fldChar w:fldCharType="end"/>
            </w:r>
          </w:hyperlink>
        </w:p>
        <w:p w14:paraId="01B1A5DC" w14:textId="745310D4" w:rsidR="00F2593A" w:rsidRDefault="00F2593A">
          <w:pPr>
            <w:pStyle w:val="Sommario2"/>
            <w:rPr>
              <w:rFonts w:eastAsiaTheme="minorEastAsia" w:cstheme="minorBidi"/>
              <w:bCs w:val="0"/>
              <w:kern w:val="2"/>
              <w:sz w:val="24"/>
              <w:szCs w:val="24"/>
              <w14:ligatures w14:val="standardContextual"/>
            </w:rPr>
          </w:pPr>
          <w:hyperlink w:anchor="_Toc219243291" w:history="1">
            <w:r w:rsidRPr="00AB0879">
              <w:rPr>
                <w:rStyle w:val="Collegamentoipertestuale"/>
                <w:lang w:val="en-US"/>
              </w:rPr>
              <w:t>3.3 Endometriosis classification used in recruiting</w:t>
            </w:r>
            <w:r>
              <w:rPr>
                <w:webHidden/>
              </w:rPr>
              <w:tab/>
            </w:r>
            <w:r>
              <w:rPr>
                <w:webHidden/>
              </w:rPr>
              <w:fldChar w:fldCharType="begin"/>
            </w:r>
            <w:r>
              <w:rPr>
                <w:webHidden/>
              </w:rPr>
              <w:instrText xml:space="preserve"> PAGEREF _Toc219243291 \h </w:instrText>
            </w:r>
            <w:r>
              <w:rPr>
                <w:webHidden/>
              </w:rPr>
            </w:r>
            <w:r>
              <w:rPr>
                <w:webHidden/>
              </w:rPr>
              <w:fldChar w:fldCharType="separate"/>
            </w:r>
            <w:r>
              <w:rPr>
                <w:webHidden/>
              </w:rPr>
              <w:t>64</w:t>
            </w:r>
            <w:r>
              <w:rPr>
                <w:webHidden/>
              </w:rPr>
              <w:fldChar w:fldCharType="end"/>
            </w:r>
          </w:hyperlink>
        </w:p>
        <w:p w14:paraId="17348A6B" w14:textId="3736DBBF" w:rsidR="00F2593A" w:rsidRDefault="00F2593A">
          <w:pPr>
            <w:pStyle w:val="Sommario2"/>
            <w:rPr>
              <w:rFonts w:eastAsiaTheme="minorEastAsia" w:cstheme="minorBidi"/>
              <w:bCs w:val="0"/>
              <w:kern w:val="2"/>
              <w:sz w:val="24"/>
              <w:szCs w:val="24"/>
              <w14:ligatures w14:val="standardContextual"/>
            </w:rPr>
          </w:pPr>
          <w:hyperlink w:anchor="_Toc219243292" w:history="1">
            <w:r w:rsidRPr="00AB0879">
              <w:rPr>
                <w:rStyle w:val="Collegamentoipertestuale"/>
                <w:lang w:val="en-US"/>
              </w:rPr>
              <w:t>3.4 Periodontal disease classification used in recruiting</w:t>
            </w:r>
            <w:r>
              <w:rPr>
                <w:webHidden/>
              </w:rPr>
              <w:tab/>
            </w:r>
            <w:r>
              <w:rPr>
                <w:webHidden/>
              </w:rPr>
              <w:fldChar w:fldCharType="begin"/>
            </w:r>
            <w:r>
              <w:rPr>
                <w:webHidden/>
              </w:rPr>
              <w:instrText xml:space="preserve"> PAGEREF _Toc219243292 \h </w:instrText>
            </w:r>
            <w:r>
              <w:rPr>
                <w:webHidden/>
              </w:rPr>
            </w:r>
            <w:r>
              <w:rPr>
                <w:webHidden/>
              </w:rPr>
              <w:fldChar w:fldCharType="separate"/>
            </w:r>
            <w:r>
              <w:rPr>
                <w:webHidden/>
              </w:rPr>
              <w:t>64</w:t>
            </w:r>
            <w:r>
              <w:rPr>
                <w:webHidden/>
              </w:rPr>
              <w:fldChar w:fldCharType="end"/>
            </w:r>
          </w:hyperlink>
        </w:p>
        <w:p w14:paraId="55AEE5C4" w14:textId="60140849" w:rsidR="00F2593A" w:rsidRDefault="00F2593A">
          <w:pPr>
            <w:pStyle w:val="Sommario2"/>
            <w:rPr>
              <w:rFonts w:eastAsiaTheme="minorEastAsia" w:cstheme="minorBidi"/>
              <w:bCs w:val="0"/>
              <w:kern w:val="2"/>
              <w:sz w:val="24"/>
              <w:szCs w:val="24"/>
              <w14:ligatures w14:val="standardContextual"/>
            </w:rPr>
          </w:pPr>
          <w:hyperlink w:anchor="_Toc219243293" w:history="1">
            <w:r w:rsidRPr="00AB0879">
              <w:rPr>
                <w:rStyle w:val="Collegamentoipertestuale"/>
                <w:lang w:val="en-US"/>
              </w:rPr>
              <w:t>3.5 Saliva Sampling</w:t>
            </w:r>
            <w:r>
              <w:rPr>
                <w:webHidden/>
              </w:rPr>
              <w:tab/>
            </w:r>
            <w:r>
              <w:rPr>
                <w:webHidden/>
              </w:rPr>
              <w:fldChar w:fldCharType="begin"/>
            </w:r>
            <w:r>
              <w:rPr>
                <w:webHidden/>
              </w:rPr>
              <w:instrText xml:space="preserve"> PAGEREF _Toc219243293 \h </w:instrText>
            </w:r>
            <w:r>
              <w:rPr>
                <w:webHidden/>
              </w:rPr>
            </w:r>
            <w:r>
              <w:rPr>
                <w:webHidden/>
              </w:rPr>
              <w:fldChar w:fldCharType="separate"/>
            </w:r>
            <w:r>
              <w:rPr>
                <w:webHidden/>
              </w:rPr>
              <w:t>65</w:t>
            </w:r>
            <w:r>
              <w:rPr>
                <w:webHidden/>
              </w:rPr>
              <w:fldChar w:fldCharType="end"/>
            </w:r>
          </w:hyperlink>
        </w:p>
        <w:p w14:paraId="31B17834" w14:textId="2C0FA896" w:rsidR="00F2593A" w:rsidRDefault="00F2593A">
          <w:pPr>
            <w:pStyle w:val="Sommario2"/>
            <w:rPr>
              <w:rFonts w:eastAsiaTheme="minorEastAsia" w:cstheme="minorBidi"/>
              <w:bCs w:val="0"/>
              <w:kern w:val="2"/>
              <w:sz w:val="24"/>
              <w:szCs w:val="24"/>
              <w14:ligatures w14:val="standardContextual"/>
            </w:rPr>
          </w:pPr>
          <w:hyperlink w:anchor="_Toc219243294" w:history="1">
            <w:r w:rsidRPr="00AB0879">
              <w:rPr>
                <w:rStyle w:val="Collegamentoipertestuale"/>
                <w:lang w:val="en-US"/>
              </w:rPr>
              <w:t>3.6 The saliva testing and Real-PCR</w:t>
            </w:r>
            <w:r>
              <w:rPr>
                <w:webHidden/>
              </w:rPr>
              <w:tab/>
            </w:r>
            <w:r>
              <w:rPr>
                <w:webHidden/>
              </w:rPr>
              <w:fldChar w:fldCharType="begin"/>
            </w:r>
            <w:r>
              <w:rPr>
                <w:webHidden/>
              </w:rPr>
              <w:instrText xml:space="preserve"> PAGEREF _Toc219243294 \h </w:instrText>
            </w:r>
            <w:r>
              <w:rPr>
                <w:webHidden/>
              </w:rPr>
            </w:r>
            <w:r>
              <w:rPr>
                <w:webHidden/>
              </w:rPr>
              <w:fldChar w:fldCharType="separate"/>
            </w:r>
            <w:r>
              <w:rPr>
                <w:webHidden/>
              </w:rPr>
              <w:t>65</w:t>
            </w:r>
            <w:r>
              <w:rPr>
                <w:webHidden/>
              </w:rPr>
              <w:fldChar w:fldCharType="end"/>
            </w:r>
          </w:hyperlink>
        </w:p>
        <w:p w14:paraId="005D413B" w14:textId="341901CB" w:rsidR="00F2593A" w:rsidRDefault="00F2593A">
          <w:pPr>
            <w:pStyle w:val="Sommario2"/>
            <w:rPr>
              <w:rFonts w:eastAsiaTheme="minorEastAsia" w:cstheme="minorBidi"/>
              <w:bCs w:val="0"/>
              <w:kern w:val="2"/>
              <w:sz w:val="24"/>
              <w:szCs w:val="24"/>
              <w14:ligatures w14:val="standardContextual"/>
            </w:rPr>
          </w:pPr>
          <w:hyperlink w:anchor="_Toc219243295" w:history="1">
            <w:r w:rsidRPr="00AB0879">
              <w:rPr>
                <w:rStyle w:val="Collegamentoipertestuale"/>
                <w:lang w:val="en-US"/>
              </w:rPr>
              <w:t>3.7 Statistical Analysis</w:t>
            </w:r>
            <w:r>
              <w:rPr>
                <w:webHidden/>
              </w:rPr>
              <w:tab/>
            </w:r>
            <w:r>
              <w:rPr>
                <w:webHidden/>
              </w:rPr>
              <w:fldChar w:fldCharType="begin"/>
            </w:r>
            <w:r>
              <w:rPr>
                <w:webHidden/>
              </w:rPr>
              <w:instrText xml:space="preserve"> PAGEREF _Toc219243295 \h </w:instrText>
            </w:r>
            <w:r>
              <w:rPr>
                <w:webHidden/>
              </w:rPr>
            </w:r>
            <w:r>
              <w:rPr>
                <w:webHidden/>
              </w:rPr>
              <w:fldChar w:fldCharType="separate"/>
            </w:r>
            <w:r>
              <w:rPr>
                <w:webHidden/>
              </w:rPr>
              <w:t>66</w:t>
            </w:r>
            <w:r>
              <w:rPr>
                <w:webHidden/>
              </w:rPr>
              <w:fldChar w:fldCharType="end"/>
            </w:r>
          </w:hyperlink>
        </w:p>
        <w:p w14:paraId="149C1BD9" w14:textId="0283A5A7" w:rsidR="00F2593A" w:rsidRDefault="00F2593A">
          <w:pPr>
            <w:pStyle w:val="Sommario2"/>
            <w:rPr>
              <w:rFonts w:eastAsiaTheme="minorEastAsia" w:cstheme="minorBidi"/>
              <w:bCs w:val="0"/>
              <w:kern w:val="2"/>
              <w:sz w:val="24"/>
              <w:szCs w:val="24"/>
              <w14:ligatures w14:val="standardContextual"/>
            </w:rPr>
          </w:pPr>
          <w:hyperlink w:anchor="_Toc219243296" w:history="1">
            <w:r w:rsidRPr="00AB0879">
              <w:rPr>
                <w:rStyle w:val="Collegamentoipertestuale"/>
                <w:lang w:val="en-US"/>
              </w:rPr>
              <w:t>3.8 Ethics</w:t>
            </w:r>
            <w:r>
              <w:rPr>
                <w:webHidden/>
              </w:rPr>
              <w:tab/>
            </w:r>
            <w:r>
              <w:rPr>
                <w:webHidden/>
              </w:rPr>
              <w:fldChar w:fldCharType="begin"/>
            </w:r>
            <w:r>
              <w:rPr>
                <w:webHidden/>
              </w:rPr>
              <w:instrText xml:space="preserve"> PAGEREF _Toc219243296 \h </w:instrText>
            </w:r>
            <w:r>
              <w:rPr>
                <w:webHidden/>
              </w:rPr>
            </w:r>
            <w:r>
              <w:rPr>
                <w:webHidden/>
              </w:rPr>
              <w:fldChar w:fldCharType="separate"/>
            </w:r>
            <w:r>
              <w:rPr>
                <w:webHidden/>
              </w:rPr>
              <w:t>66</w:t>
            </w:r>
            <w:r>
              <w:rPr>
                <w:webHidden/>
              </w:rPr>
              <w:fldChar w:fldCharType="end"/>
            </w:r>
          </w:hyperlink>
        </w:p>
        <w:p w14:paraId="43E51C24" w14:textId="5406D958" w:rsidR="00F2593A" w:rsidRDefault="00F2593A">
          <w:pPr>
            <w:pStyle w:val="Sommario1"/>
            <w:rPr>
              <w:rFonts w:eastAsiaTheme="minorEastAsia" w:cstheme="minorBidi"/>
              <w:b w:val="0"/>
              <w:bCs w:val="0"/>
              <w:i w:val="0"/>
              <w:iCs w:val="0"/>
              <w:noProof/>
              <w:kern w:val="2"/>
              <w14:ligatures w14:val="standardContextual"/>
            </w:rPr>
          </w:pPr>
          <w:hyperlink w:anchor="_Toc219243297" w:history="1">
            <w:r w:rsidRPr="00AB0879">
              <w:rPr>
                <w:rStyle w:val="Collegamentoipertestuale"/>
                <w:noProof/>
                <w:lang w:val="en-US"/>
              </w:rPr>
              <w:t>4. RESULTS</w:t>
            </w:r>
            <w:r>
              <w:rPr>
                <w:noProof/>
                <w:webHidden/>
              </w:rPr>
              <w:tab/>
            </w:r>
            <w:r>
              <w:rPr>
                <w:noProof/>
                <w:webHidden/>
              </w:rPr>
              <w:fldChar w:fldCharType="begin"/>
            </w:r>
            <w:r>
              <w:rPr>
                <w:noProof/>
                <w:webHidden/>
              </w:rPr>
              <w:instrText xml:space="preserve"> PAGEREF _Toc219243297 \h </w:instrText>
            </w:r>
            <w:r>
              <w:rPr>
                <w:noProof/>
                <w:webHidden/>
              </w:rPr>
            </w:r>
            <w:r>
              <w:rPr>
                <w:noProof/>
                <w:webHidden/>
              </w:rPr>
              <w:fldChar w:fldCharType="separate"/>
            </w:r>
            <w:r>
              <w:rPr>
                <w:noProof/>
                <w:webHidden/>
              </w:rPr>
              <w:t>71</w:t>
            </w:r>
            <w:r>
              <w:rPr>
                <w:noProof/>
                <w:webHidden/>
              </w:rPr>
              <w:fldChar w:fldCharType="end"/>
            </w:r>
          </w:hyperlink>
        </w:p>
        <w:p w14:paraId="47755DC9" w14:textId="3EC625CC" w:rsidR="00F2593A" w:rsidRDefault="00F2593A">
          <w:pPr>
            <w:pStyle w:val="Sommario2"/>
            <w:rPr>
              <w:rFonts w:eastAsiaTheme="minorEastAsia" w:cstheme="minorBidi"/>
              <w:bCs w:val="0"/>
              <w:kern w:val="2"/>
              <w:sz w:val="24"/>
              <w:szCs w:val="24"/>
              <w14:ligatures w14:val="standardContextual"/>
            </w:rPr>
          </w:pPr>
          <w:hyperlink w:anchor="_Toc219243298" w:history="1">
            <w:r w:rsidRPr="00AB0879">
              <w:rPr>
                <w:rStyle w:val="Collegamentoipertestuale"/>
                <w:lang w:val="en-US"/>
              </w:rPr>
              <w:t>4.1 Quantitative real-time PCR results of periodontal pathogens in healthy controls and endometriosis patients</w:t>
            </w:r>
            <w:r>
              <w:rPr>
                <w:webHidden/>
              </w:rPr>
              <w:tab/>
            </w:r>
            <w:r>
              <w:rPr>
                <w:webHidden/>
              </w:rPr>
              <w:fldChar w:fldCharType="begin"/>
            </w:r>
            <w:r>
              <w:rPr>
                <w:webHidden/>
              </w:rPr>
              <w:instrText xml:space="preserve"> PAGEREF _Toc219243298 \h </w:instrText>
            </w:r>
            <w:r>
              <w:rPr>
                <w:webHidden/>
              </w:rPr>
            </w:r>
            <w:r>
              <w:rPr>
                <w:webHidden/>
              </w:rPr>
              <w:fldChar w:fldCharType="separate"/>
            </w:r>
            <w:r>
              <w:rPr>
                <w:webHidden/>
              </w:rPr>
              <w:t>71</w:t>
            </w:r>
            <w:r>
              <w:rPr>
                <w:webHidden/>
              </w:rPr>
              <w:fldChar w:fldCharType="end"/>
            </w:r>
          </w:hyperlink>
        </w:p>
        <w:p w14:paraId="7C9BC9B9" w14:textId="164AAFA8" w:rsidR="00F2593A" w:rsidRDefault="00F2593A">
          <w:pPr>
            <w:pStyle w:val="Sommario2"/>
            <w:rPr>
              <w:rFonts w:eastAsiaTheme="minorEastAsia" w:cstheme="minorBidi"/>
              <w:bCs w:val="0"/>
              <w:kern w:val="2"/>
              <w:sz w:val="24"/>
              <w:szCs w:val="24"/>
              <w14:ligatures w14:val="standardContextual"/>
            </w:rPr>
          </w:pPr>
          <w:hyperlink w:anchor="_Toc219243299" w:history="1">
            <w:r w:rsidRPr="00AB0879">
              <w:rPr>
                <w:rStyle w:val="Collegamentoipertestuale"/>
                <w:lang w:val="en-US"/>
              </w:rPr>
              <w:t>4.2 Relative distribution of periodontal bacterial complexes</w:t>
            </w:r>
            <w:r>
              <w:rPr>
                <w:webHidden/>
              </w:rPr>
              <w:tab/>
            </w:r>
            <w:r>
              <w:rPr>
                <w:webHidden/>
              </w:rPr>
              <w:fldChar w:fldCharType="begin"/>
            </w:r>
            <w:r>
              <w:rPr>
                <w:webHidden/>
              </w:rPr>
              <w:instrText xml:space="preserve"> PAGEREF _Toc219243299 \h </w:instrText>
            </w:r>
            <w:r>
              <w:rPr>
                <w:webHidden/>
              </w:rPr>
            </w:r>
            <w:r>
              <w:rPr>
                <w:webHidden/>
              </w:rPr>
              <w:fldChar w:fldCharType="separate"/>
            </w:r>
            <w:r>
              <w:rPr>
                <w:webHidden/>
              </w:rPr>
              <w:t>72</w:t>
            </w:r>
            <w:r>
              <w:rPr>
                <w:webHidden/>
              </w:rPr>
              <w:fldChar w:fldCharType="end"/>
            </w:r>
          </w:hyperlink>
        </w:p>
        <w:p w14:paraId="7F96B903" w14:textId="4BC83619" w:rsidR="00F2593A" w:rsidRDefault="00F2593A">
          <w:pPr>
            <w:pStyle w:val="Sommario1"/>
            <w:rPr>
              <w:rFonts w:eastAsiaTheme="minorEastAsia" w:cstheme="minorBidi"/>
              <w:b w:val="0"/>
              <w:bCs w:val="0"/>
              <w:i w:val="0"/>
              <w:iCs w:val="0"/>
              <w:noProof/>
              <w:kern w:val="2"/>
              <w14:ligatures w14:val="standardContextual"/>
            </w:rPr>
          </w:pPr>
          <w:hyperlink w:anchor="_Toc219243300" w:history="1">
            <w:r w:rsidRPr="00AB0879">
              <w:rPr>
                <w:rStyle w:val="Collegamentoipertestuale"/>
                <w:noProof/>
                <w:lang w:val="en-US"/>
              </w:rPr>
              <w:t>5. DISCUSSIONS</w:t>
            </w:r>
            <w:r>
              <w:rPr>
                <w:noProof/>
                <w:webHidden/>
              </w:rPr>
              <w:tab/>
            </w:r>
            <w:r>
              <w:rPr>
                <w:noProof/>
                <w:webHidden/>
              </w:rPr>
              <w:fldChar w:fldCharType="begin"/>
            </w:r>
            <w:r>
              <w:rPr>
                <w:noProof/>
                <w:webHidden/>
              </w:rPr>
              <w:instrText xml:space="preserve"> PAGEREF _Toc219243300 \h </w:instrText>
            </w:r>
            <w:r>
              <w:rPr>
                <w:noProof/>
                <w:webHidden/>
              </w:rPr>
            </w:r>
            <w:r>
              <w:rPr>
                <w:noProof/>
                <w:webHidden/>
              </w:rPr>
              <w:fldChar w:fldCharType="separate"/>
            </w:r>
            <w:r>
              <w:rPr>
                <w:noProof/>
                <w:webHidden/>
              </w:rPr>
              <w:t>74</w:t>
            </w:r>
            <w:r>
              <w:rPr>
                <w:noProof/>
                <w:webHidden/>
              </w:rPr>
              <w:fldChar w:fldCharType="end"/>
            </w:r>
          </w:hyperlink>
        </w:p>
        <w:p w14:paraId="54449D34" w14:textId="7FC6B9B0" w:rsidR="00F2593A" w:rsidRDefault="00F2593A">
          <w:pPr>
            <w:pStyle w:val="Sommario1"/>
            <w:rPr>
              <w:rFonts w:eastAsiaTheme="minorEastAsia" w:cstheme="minorBidi"/>
              <w:b w:val="0"/>
              <w:bCs w:val="0"/>
              <w:i w:val="0"/>
              <w:iCs w:val="0"/>
              <w:noProof/>
              <w:kern w:val="2"/>
              <w14:ligatures w14:val="standardContextual"/>
            </w:rPr>
          </w:pPr>
          <w:hyperlink w:anchor="_Toc219243301" w:history="1">
            <w:r w:rsidRPr="00AB0879">
              <w:rPr>
                <w:rStyle w:val="Collegamentoipertestuale"/>
                <w:noProof/>
                <w:lang w:val="en-US"/>
              </w:rPr>
              <w:t>6. LIMITATIONS</w:t>
            </w:r>
            <w:r>
              <w:rPr>
                <w:noProof/>
                <w:webHidden/>
              </w:rPr>
              <w:tab/>
            </w:r>
            <w:r>
              <w:rPr>
                <w:noProof/>
                <w:webHidden/>
              </w:rPr>
              <w:fldChar w:fldCharType="begin"/>
            </w:r>
            <w:r>
              <w:rPr>
                <w:noProof/>
                <w:webHidden/>
              </w:rPr>
              <w:instrText xml:space="preserve"> PAGEREF _Toc219243301 \h </w:instrText>
            </w:r>
            <w:r>
              <w:rPr>
                <w:noProof/>
                <w:webHidden/>
              </w:rPr>
            </w:r>
            <w:r>
              <w:rPr>
                <w:noProof/>
                <w:webHidden/>
              </w:rPr>
              <w:fldChar w:fldCharType="separate"/>
            </w:r>
            <w:r>
              <w:rPr>
                <w:noProof/>
                <w:webHidden/>
              </w:rPr>
              <w:t>80</w:t>
            </w:r>
            <w:r>
              <w:rPr>
                <w:noProof/>
                <w:webHidden/>
              </w:rPr>
              <w:fldChar w:fldCharType="end"/>
            </w:r>
          </w:hyperlink>
        </w:p>
        <w:p w14:paraId="674FAA22" w14:textId="6258EB18" w:rsidR="00F2593A" w:rsidRDefault="00F2593A">
          <w:pPr>
            <w:pStyle w:val="Sommario1"/>
            <w:rPr>
              <w:rFonts w:eastAsiaTheme="minorEastAsia" w:cstheme="minorBidi"/>
              <w:b w:val="0"/>
              <w:bCs w:val="0"/>
              <w:i w:val="0"/>
              <w:iCs w:val="0"/>
              <w:noProof/>
              <w:kern w:val="2"/>
              <w14:ligatures w14:val="standardContextual"/>
            </w:rPr>
          </w:pPr>
          <w:hyperlink w:anchor="_Toc219243302" w:history="1">
            <w:r w:rsidRPr="00AB0879">
              <w:rPr>
                <w:rStyle w:val="Collegamentoipertestuale"/>
                <w:noProof/>
                <w:lang w:val="en-US"/>
              </w:rPr>
              <w:t>7. CONCLUSIONS</w:t>
            </w:r>
            <w:r>
              <w:rPr>
                <w:noProof/>
                <w:webHidden/>
              </w:rPr>
              <w:tab/>
            </w:r>
            <w:r>
              <w:rPr>
                <w:noProof/>
                <w:webHidden/>
              </w:rPr>
              <w:fldChar w:fldCharType="begin"/>
            </w:r>
            <w:r>
              <w:rPr>
                <w:noProof/>
                <w:webHidden/>
              </w:rPr>
              <w:instrText xml:space="preserve"> PAGEREF _Toc219243302 \h </w:instrText>
            </w:r>
            <w:r>
              <w:rPr>
                <w:noProof/>
                <w:webHidden/>
              </w:rPr>
            </w:r>
            <w:r>
              <w:rPr>
                <w:noProof/>
                <w:webHidden/>
              </w:rPr>
              <w:fldChar w:fldCharType="separate"/>
            </w:r>
            <w:r>
              <w:rPr>
                <w:noProof/>
                <w:webHidden/>
              </w:rPr>
              <w:t>81</w:t>
            </w:r>
            <w:r>
              <w:rPr>
                <w:noProof/>
                <w:webHidden/>
              </w:rPr>
              <w:fldChar w:fldCharType="end"/>
            </w:r>
          </w:hyperlink>
        </w:p>
        <w:p w14:paraId="763EB6CF" w14:textId="17761D29" w:rsidR="00F2593A" w:rsidRDefault="00F2593A">
          <w:pPr>
            <w:pStyle w:val="Sommario1"/>
            <w:rPr>
              <w:rFonts w:eastAsiaTheme="minorEastAsia" w:cstheme="minorBidi"/>
              <w:b w:val="0"/>
              <w:bCs w:val="0"/>
              <w:i w:val="0"/>
              <w:iCs w:val="0"/>
              <w:noProof/>
              <w:kern w:val="2"/>
              <w14:ligatures w14:val="standardContextual"/>
            </w:rPr>
          </w:pPr>
          <w:hyperlink w:anchor="_Toc219243303" w:history="1">
            <w:r w:rsidRPr="00AB0879">
              <w:rPr>
                <w:rStyle w:val="Collegamentoipertestuale"/>
                <w:noProof/>
              </w:rPr>
              <w:t>REFERENCES</w:t>
            </w:r>
            <w:r>
              <w:rPr>
                <w:noProof/>
                <w:webHidden/>
              </w:rPr>
              <w:tab/>
            </w:r>
            <w:r>
              <w:rPr>
                <w:noProof/>
                <w:webHidden/>
              </w:rPr>
              <w:fldChar w:fldCharType="begin"/>
            </w:r>
            <w:r>
              <w:rPr>
                <w:noProof/>
                <w:webHidden/>
              </w:rPr>
              <w:instrText xml:space="preserve"> PAGEREF _Toc219243303 \h </w:instrText>
            </w:r>
            <w:r>
              <w:rPr>
                <w:noProof/>
                <w:webHidden/>
              </w:rPr>
            </w:r>
            <w:r>
              <w:rPr>
                <w:noProof/>
                <w:webHidden/>
              </w:rPr>
              <w:fldChar w:fldCharType="separate"/>
            </w:r>
            <w:r>
              <w:rPr>
                <w:noProof/>
                <w:webHidden/>
              </w:rPr>
              <w:t>82</w:t>
            </w:r>
            <w:r>
              <w:rPr>
                <w:noProof/>
                <w:webHidden/>
              </w:rPr>
              <w:fldChar w:fldCharType="end"/>
            </w:r>
          </w:hyperlink>
        </w:p>
        <w:p w14:paraId="1E576F33" w14:textId="51957193" w:rsidR="004341C1" w:rsidRPr="0072344B" w:rsidRDefault="001C39A8" w:rsidP="00F2593A">
          <w:pPr>
            <w:sectPr w:rsidR="004341C1" w:rsidRPr="0072344B" w:rsidSect="006D27CE">
              <w:footerReference w:type="even" r:id="rId9"/>
              <w:footerReference w:type="default" r:id="rId10"/>
              <w:pgSz w:w="11900" w:h="16840"/>
              <w:pgMar w:top="1701" w:right="1418" w:bottom="1701" w:left="1985" w:header="708" w:footer="708" w:gutter="0"/>
              <w:cols w:space="709"/>
              <w:docGrid w:linePitch="326"/>
            </w:sectPr>
          </w:pPr>
          <w:r>
            <w:rPr>
              <w:rFonts w:asciiTheme="minorHAnsi" w:hAnsiTheme="minorHAnsi"/>
              <w:i/>
              <w:iCs/>
            </w:rPr>
            <w:fldChar w:fldCharType="end"/>
          </w:r>
        </w:p>
      </w:sdtContent>
    </w:sdt>
    <w:p w14:paraId="5A92A5BA" w14:textId="18D04D9D" w:rsidR="005F1689" w:rsidRPr="005F1689" w:rsidRDefault="00A92A5D" w:rsidP="005F1689">
      <w:pPr>
        <w:pStyle w:val="Titolo1"/>
        <w:numPr>
          <w:ilvl w:val="0"/>
          <w:numId w:val="2"/>
        </w:numPr>
        <w:spacing w:line="360" w:lineRule="auto"/>
        <w:ind w:left="567" w:hanging="567"/>
        <w:jc w:val="center"/>
        <w:rPr>
          <w:rFonts w:cs="Times New Roman"/>
          <w:sz w:val="32"/>
        </w:rPr>
      </w:pPr>
      <w:bookmarkStart w:id="3" w:name="_Toc219243267"/>
      <w:r w:rsidRPr="00686643">
        <w:rPr>
          <w:rFonts w:cs="Times New Roman"/>
          <w:sz w:val="32"/>
        </w:rPr>
        <w:t>INTRODU</w:t>
      </w:r>
      <w:r w:rsidR="00E90FCB" w:rsidRPr="00686643">
        <w:rPr>
          <w:rFonts w:cs="Times New Roman"/>
          <w:sz w:val="32"/>
        </w:rPr>
        <w:t>CTION</w:t>
      </w:r>
      <w:bookmarkEnd w:id="3"/>
    </w:p>
    <w:p w14:paraId="1D29EFA2" w14:textId="77777777" w:rsidR="008124FE" w:rsidRDefault="008124FE" w:rsidP="00C44CC1">
      <w:pPr>
        <w:spacing w:line="360" w:lineRule="auto"/>
        <w:jc w:val="both"/>
        <w:rPr>
          <w:lang w:val="en-US"/>
        </w:rPr>
      </w:pPr>
    </w:p>
    <w:p w14:paraId="19680C9B" w14:textId="4B6C84A8" w:rsidR="00C44CC1" w:rsidRPr="006E7D97" w:rsidRDefault="00C44CC1" w:rsidP="00C44CC1">
      <w:pPr>
        <w:spacing w:line="360" w:lineRule="auto"/>
        <w:jc w:val="both"/>
        <w:rPr>
          <w:lang w:val="en-US"/>
        </w:rPr>
      </w:pPr>
      <w:r w:rsidRPr="006E7D97">
        <w:rPr>
          <w:lang w:val="en-US"/>
        </w:rPr>
        <w:t>The human microbiome plays a central role in health and disease. Microbial dysbiosis is increasingly identified as a cause of chronic inflammatory conditions, affecting both local and systemic pathologies. In the field of oral medicine, disturbances to the oral microbiome have been associated with systemic inflammation, suggesting a potential link between periodontal disease and other systemic conditions</w:t>
      </w:r>
      <w:r w:rsidR="00335071">
        <w:rPr>
          <w:rStyle w:val="Rimandonotadichiusura"/>
          <w:lang w:val="en-US"/>
        </w:rPr>
        <w:endnoteReference w:id="1"/>
      </w:r>
      <w:r w:rsidR="00335071">
        <w:rPr>
          <w:lang w:val="en-US"/>
        </w:rPr>
        <w:t>.</w:t>
      </w:r>
    </w:p>
    <w:p w14:paraId="47B84597" w14:textId="14C02F6E" w:rsidR="00C44CC1" w:rsidRPr="006E7D97" w:rsidRDefault="00C44CC1" w:rsidP="00C44CC1">
      <w:pPr>
        <w:spacing w:line="360" w:lineRule="auto"/>
        <w:jc w:val="both"/>
        <w:rPr>
          <w:lang w:val="en-US"/>
        </w:rPr>
      </w:pPr>
      <w:r w:rsidRPr="006E7D97">
        <w:rPr>
          <w:lang w:val="en-US"/>
        </w:rPr>
        <w:t>Endometriosis is a chronic, estrogen-dependent inflammatory disorder involving the presence of endometrial-like tissue outside the uterine cavity. It affects approximately 10% of women of reproductive age and is associated with pelvic pain, infertility, fatigue, and reduced quality of life</w:t>
      </w:r>
      <w:r w:rsidR="004938E8">
        <w:rPr>
          <w:rStyle w:val="Rimandonotadichiusura"/>
          <w:lang w:val="en-US"/>
        </w:rPr>
        <w:endnoteReference w:id="2"/>
      </w:r>
      <w:r w:rsidR="004938E8">
        <w:rPr>
          <w:lang w:val="en-US"/>
        </w:rPr>
        <w:t>.</w:t>
      </w:r>
      <w:r w:rsidRPr="006E7D97">
        <w:rPr>
          <w:lang w:val="en-US"/>
        </w:rPr>
        <w:t xml:space="preserve"> Its etiology remains incompletely understood, but recent models emphasize the contribution of endocrine disruptors, genetic predisposition, and genital tract dysbiosis</w:t>
      </w:r>
      <w:r w:rsidR="00F3050A">
        <w:rPr>
          <w:rStyle w:val="Rimandonotadichiusura"/>
          <w:lang w:val="en-US"/>
        </w:rPr>
        <w:endnoteReference w:id="3"/>
      </w:r>
      <w:r w:rsidR="00335071">
        <w:rPr>
          <w:lang w:val="en-US"/>
        </w:rPr>
        <w:t>.</w:t>
      </w:r>
    </w:p>
    <w:p w14:paraId="0E8FB6D1" w14:textId="75FF7E38" w:rsidR="00C44CC1" w:rsidRPr="00687257" w:rsidRDefault="00C44CC1" w:rsidP="00C44CC1">
      <w:pPr>
        <w:spacing w:line="360" w:lineRule="auto"/>
        <w:jc w:val="both"/>
        <w:rPr>
          <w:lang w:val="en-US"/>
        </w:rPr>
      </w:pPr>
      <w:r w:rsidRPr="00687257">
        <w:rPr>
          <w:lang w:val="en-US"/>
        </w:rPr>
        <w:t>The systemic nature of the disease is highlighted by its associations with oral health issues, such as periodontal disease and temporomandibular joint dysfunction</w:t>
      </w:r>
      <w:r w:rsidR="009E7BB4" w:rsidRPr="00687257">
        <w:rPr>
          <w:rStyle w:val="Rimandonotadichiusura"/>
          <w:lang w:val="en-US"/>
        </w:rPr>
        <w:endnoteReference w:id="4"/>
      </w:r>
      <w:r w:rsidR="00335071" w:rsidRPr="00687257">
        <w:rPr>
          <w:lang w:val="en-US"/>
        </w:rPr>
        <w:t>.</w:t>
      </w:r>
    </w:p>
    <w:p w14:paraId="3A65292D" w14:textId="770CD4AD" w:rsidR="00C44CC1" w:rsidRPr="00687257" w:rsidRDefault="00C44CC1" w:rsidP="00C44CC1">
      <w:pPr>
        <w:spacing w:line="360" w:lineRule="auto"/>
        <w:jc w:val="both"/>
        <w:rPr>
          <w:lang w:val="en-US"/>
        </w:rPr>
      </w:pPr>
      <w:r w:rsidRPr="00687257">
        <w:rPr>
          <w:lang w:val="en-US"/>
        </w:rPr>
        <w:t xml:space="preserve">Periodontal disease (PD) is one of the most prevalent chronic inflammatory conditions that compromises the tissues supporting </w:t>
      </w:r>
      <w:r w:rsidR="00043109" w:rsidRPr="00687257">
        <w:rPr>
          <w:lang w:val="en-US"/>
        </w:rPr>
        <w:t xml:space="preserve">the </w:t>
      </w:r>
      <w:r w:rsidR="0091672A" w:rsidRPr="00687257">
        <w:rPr>
          <w:lang w:val="en-US"/>
        </w:rPr>
        <w:t xml:space="preserve">teeth </w:t>
      </w:r>
      <w:r w:rsidRPr="00687257">
        <w:rPr>
          <w:lang w:val="en-US"/>
        </w:rPr>
        <w:t>and represents a significant global health issue</w:t>
      </w:r>
      <w:r w:rsidR="004938E8" w:rsidRPr="00687257">
        <w:rPr>
          <w:rStyle w:val="Rimandonotadichiusura"/>
          <w:lang w:val="en-US"/>
        </w:rPr>
        <w:endnoteReference w:id="5"/>
      </w:r>
      <w:r w:rsidR="004938E8" w:rsidRPr="00687257">
        <w:rPr>
          <w:lang w:val="en-US"/>
        </w:rPr>
        <w:t xml:space="preserve">. </w:t>
      </w:r>
      <w:r w:rsidRPr="00687257">
        <w:rPr>
          <w:lang w:val="en-US"/>
        </w:rPr>
        <w:t>Approximately 10% of adults are affected by severe forms, which are marked by dysbiotic bacterial biofilms and a long-lasting inflammatory response in the host</w:t>
      </w:r>
      <w:r w:rsidR="004938E8" w:rsidRPr="00687257">
        <w:rPr>
          <w:rStyle w:val="Rimandonotadichiusura"/>
          <w:lang w:val="en-US"/>
        </w:rPr>
        <w:endnoteReference w:id="6"/>
      </w:r>
      <w:r w:rsidRPr="00687257">
        <w:rPr>
          <w:lang w:val="en-US"/>
        </w:rPr>
        <w:t xml:space="preserve">. </w:t>
      </w:r>
    </w:p>
    <w:p w14:paraId="75D9B59F" w14:textId="11C67A22" w:rsidR="00C44CC1" w:rsidRPr="00687257" w:rsidRDefault="00C44CC1" w:rsidP="00C44CC1">
      <w:pPr>
        <w:spacing w:line="360" w:lineRule="auto"/>
        <w:jc w:val="both"/>
        <w:rPr>
          <w:lang w:val="en-US"/>
        </w:rPr>
      </w:pPr>
      <w:r w:rsidRPr="00687257">
        <w:rPr>
          <w:lang w:val="en-US"/>
        </w:rPr>
        <w:t>It is generally classified into two categories: gingivitis, which is limited to a reversible inflammation of the gingival tissues, and periodontitis, which involves progressive and irreversible damage to the periodontal ligament and alveolar bone. If not properly managed, periodontitis can ultimately result in tooth loss</w:t>
      </w:r>
      <w:r w:rsidR="001C79C1" w:rsidRPr="00687257">
        <w:rPr>
          <w:lang w:val="en-US"/>
        </w:rPr>
        <w:t xml:space="preserve">; in addition it </w:t>
      </w:r>
      <w:r w:rsidRPr="00687257">
        <w:rPr>
          <w:lang w:val="en-US"/>
        </w:rPr>
        <w:t>has been increasingly linked to systemic health implications, including cardiovascular disorders, metabolic diseases such as diabetes, complications during pregnancy, and various other inflammatory conditions</w:t>
      </w:r>
      <w:r w:rsidR="00B51545" w:rsidRPr="00687257">
        <w:rPr>
          <w:rStyle w:val="Rimandonotadichiusura"/>
          <w:lang w:val="en-US"/>
        </w:rPr>
        <w:endnoteReference w:id="7"/>
      </w:r>
      <w:r w:rsidR="00B51545" w:rsidRPr="00687257">
        <w:rPr>
          <w:lang w:val="en-US"/>
        </w:rPr>
        <w:t xml:space="preserve"> </w:t>
      </w:r>
      <w:r w:rsidR="00B51545" w:rsidRPr="00687257">
        <w:rPr>
          <w:rStyle w:val="Rimandonotadichiusura"/>
          <w:lang w:val="en-US"/>
        </w:rPr>
        <w:endnoteReference w:id="8"/>
      </w:r>
      <w:r w:rsidR="00335071" w:rsidRPr="00687257">
        <w:rPr>
          <w:lang w:val="en-US"/>
        </w:rPr>
        <w:t>.</w:t>
      </w:r>
    </w:p>
    <w:p w14:paraId="39699C73" w14:textId="07CB1844" w:rsidR="00C44CC1" w:rsidRPr="006E7D97" w:rsidRDefault="00C44CC1" w:rsidP="00C44CC1">
      <w:pPr>
        <w:spacing w:line="360" w:lineRule="auto"/>
        <w:jc w:val="both"/>
        <w:rPr>
          <w:lang w:val="en-US"/>
        </w:rPr>
      </w:pPr>
      <w:r w:rsidRPr="00687257">
        <w:rPr>
          <w:lang w:val="en-US"/>
        </w:rPr>
        <w:t xml:space="preserve">Epidemiological </w:t>
      </w:r>
      <w:r w:rsidRPr="005F1689">
        <w:rPr>
          <w:lang w:val="en-US"/>
        </w:rPr>
        <w:t>evidence suggests that periodontitis may impact female reproductive health</w:t>
      </w:r>
      <w:r w:rsidR="00B51545" w:rsidRPr="005F1689">
        <w:rPr>
          <w:rStyle w:val="Rimandonotadichiusura"/>
          <w:lang w:val="en-US"/>
        </w:rPr>
        <w:endnoteReference w:id="9"/>
      </w:r>
      <w:r w:rsidR="00010F58" w:rsidRPr="005F1689">
        <w:rPr>
          <w:lang w:val="en-US"/>
        </w:rPr>
        <w:t xml:space="preserve"> </w:t>
      </w:r>
      <w:r w:rsidR="00010F58" w:rsidRPr="005F1689">
        <w:rPr>
          <w:rFonts w:cs="Times New Roman (Corpo CS)"/>
          <w:lang w:val="en-US"/>
        </w:rPr>
        <w:t>highlighting</w:t>
      </w:r>
      <w:r w:rsidRPr="005F1689">
        <w:rPr>
          <w:lang w:val="en-US"/>
        </w:rPr>
        <w:t xml:space="preserve"> the link between </w:t>
      </w:r>
      <w:r w:rsidRPr="006E7D97">
        <w:rPr>
          <w:lang w:val="en-US"/>
        </w:rPr>
        <w:t xml:space="preserve">PD and disorders related to infertility, such as </w:t>
      </w:r>
      <w:r w:rsidRPr="006E7D97">
        <w:rPr>
          <w:lang w:val="en-US"/>
        </w:rPr>
        <w:lastRenderedPageBreak/>
        <w:t>PCOS, bacterial vaginosis and endometriosis</w:t>
      </w:r>
      <w:r w:rsidR="00C355AF">
        <w:rPr>
          <w:rStyle w:val="Rimandonotadichiusura"/>
          <w:lang w:val="en-US"/>
        </w:rPr>
        <w:endnoteReference w:id="10"/>
      </w:r>
      <w:r w:rsidRPr="006E7D97">
        <w:rPr>
          <w:lang w:val="en-US"/>
        </w:rPr>
        <w:t>. In a clinical study, it found that 70% of women with endometriosis had severe periodontitis compared to healthy controls, supporting the idea of shared inflammatory pathways</w:t>
      </w:r>
      <w:r w:rsidR="00B51545">
        <w:rPr>
          <w:rStyle w:val="Rimandonotadichiusura"/>
          <w:lang w:val="en-US"/>
        </w:rPr>
        <w:endnoteReference w:id="11"/>
      </w:r>
      <w:r w:rsidRPr="006E7D97">
        <w:rPr>
          <w:lang w:val="en-US"/>
        </w:rPr>
        <w:t>. Furthermore, a recent Mendelian randomized analysis has provided genetic evidence of a causal relationship between periodontitis and peritoneal endometriosis</w:t>
      </w:r>
      <w:r w:rsidR="00B51545">
        <w:rPr>
          <w:rStyle w:val="Rimandonotadichiusura"/>
          <w:lang w:val="en-US"/>
        </w:rPr>
        <w:endnoteReference w:id="12"/>
      </w:r>
      <w:r w:rsidR="00335071">
        <w:rPr>
          <w:lang w:val="en-US"/>
        </w:rPr>
        <w:t>.</w:t>
      </w:r>
    </w:p>
    <w:p w14:paraId="23A3C571" w14:textId="011B37E3" w:rsidR="00C44CC1" w:rsidRPr="006E7D97" w:rsidRDefault="00C44CC1" w:rsidP="00C44CC1">
      <w:pPr>
        <w:spacing w:line="360" w:lineRule="auto"/>
        <w:jc w:val="both"/>
        <w:rPr>
          <w:lang w:val="en-US"/>
        </w:rPr>
      </w:pPr>
      <w:r w:rsidRPr="006E7D97">
        <w:rPr>
          <w:lang w:val="en-US"/>
        </w:rPr>
        <w:t xml:space="preserve">Periodontitis is a chronic multifactorial inflammatory disease, which, similarly to endometrios, is associated with chronic low-grade inflammation. Furthermore, inflammatory markers such as </w:t>
      </w:r>
      <w:r w:rsidRPr="001476B9">
        <w:rPr>
          <w:i/>
          <w:iCs/>
          <w:lang w:val="en-US"/>
        </w:rPr>
        <w:t>C-reactive protein (CRP),</w:t>
      </w:r>
      <w:r w:rsidRPr="006E7D97">
        <w:rPr>
          <w:lang w:val="en-US"/>
        </w:rPr>
        <w:t xml:space="preserve"> </w:t>
      </w:r>
      <w:r w:rsidRPr="001476B9">
        <w:rPr>
          <w:i/>
          <w:iCs/>
          <w:lang w:val="en-US"/>
        </w:rPr>
        <w:t>interleukin-6 (IL-6),</w:t>
      </w:r>
      <w:r w:rsidRPr="006E7D97">
        <w:rPr>
          <w:lang w:val="en-US"/>
        </w:rPr>
        <w:t xml:space="preserve"> and tumor </w:t>
      </w:r>
      <w:r w:rsidRPr="001476B9">
        <w:rPr>
          <w:i/>
          <w:iCs/>
          <w:lang w:val="en-US"/>
        </w:rPr>
        <w:t>necrosis factor-</w:t>
      </w:r>
      <w:r w:rsidRPr="001476B9">
        <w:rPr>
          <w:i/>
          <w:iCs/>
        </w:rPr>
        <w:t>α</w:t>
      </w:r>
      <w:r w:rsidRPr="001476B9">
        <w:rPr>
          <w:i/>
          <w:iCs/>
          <w:lang w:val="en-US"/>
        </w:rPr>
        <w:t xml:space="preserve"> (TNF-</w:t>
      </w:r>
      <w:r w:rsidRPr="001476B9">
        <w:rPr>
          <w:i/>
          <w:iCs/>
        </w:rPr>
        <w:t>α</w:t>
      </w:r>
      <w:r w:rsidRPr="001476B9">
        <w:rPr>
          <w:i/>
          <w:iCs/>
          <w:lang w:val="en-US"/>
        </w:rPr>
        <w:t>)</w:t>
      </w:r>
      <w:r w:rsidRPr="006E7D97">
        <w:rPr>
          <w:lang w:val="en-US"/>
        </w:rPr>
        <w:t xml:space="preserve"> are elevated in both conditions, which could influence wound healing and tissue regeneration in periodontal therapy</w:t>
      </w:r>
      <w:r w:rsidR="000173F0">
        <w:rPr>
          <w:rStyle w:val="Rimandonotadichiusura"/>
          <w:lang w:val="en-US"/>
        </w:rPr>
        <w:endnoteReference w:id="13"/>
      </w:r>
      <w:r w:rsidR="00335071">
        <w:rPr>
          <w:lang w:val="en-US"/>
        </w:rPr>
        <w:t>.</w:t>
      </w:r>
    </w:p>
    <w:p w14:paraId="5CDA3579" w14:textId="77777777" w:rsidR="00C44CC1" w:rsidRPr="006E7D97" w:rsidRDefault="00C44CC1" w:rsidP="00C44CC1">
      <w:pPr>
        <w:spacing w:line="360" w:lineRule="auto"/>
        <w:jc w:val="both"/>
        <w:rPr>
          <w:lang w:val="en-US"/>
        </w:rPr>
      </w:pPr>
      <w:r w:rsidRPr="006E7D97">
        <w:rPr>
          <w:lang w:val="en-US"/>
        </w:rPr>
        <w:t>In addition to immunological factors, mitochondrial dysfunction and environmental stressors are increasingly recognized as contributing to female reproductive disorders.</w:t>
      </w:r>
    </w:p>
    <w:p w14:paraId="3A42505A" w14:textId="55AEF268" w:rsidR="00C44CC1" w:rsidRPr="006E7D97" w:rsidRDefault="00C44CC1" w:rsidP="00C44CC1">
      <w:pPr>
        <w:spacing w:line="360" w:lineRule="auto"/>
        <w:jc w:val="both"/>
        <w:rPr>
          <w:b/>
          <w:bCs/>
          <w:lang w:val="en-US"/>
        </w:rPr>
      </w:pPr>
      <w:r w:rsidRPr="006E7D97">
        <w:rPr>
          <w:lang w:val="en-US"/>
        </w:rPr>
        <w:t>Palmerini et al. (2021) have shown that altered mitochondrial ultrastructure in oocytes compromises maturation and early embryonic development</w:t>
      </w:r>
      <w:r w:rsidR="000173F0">
        <w:rPr>
          <w:rStyle w:val="Rimandonotadichiusura"/>
          <w:lang w:val="en-US"/>
        </w:rPr>
        <w:endnoteReference w:id="14"/>
      </w:r>
      <w:r w:rsidRPr="006E7D97">
        <w:rPr>
          <w:lang w:val="en-US"/>
        </w:rPr>
        <w:t>, while toxic environmental exposures impair granulosa cell function and induce oxidative stress, thereby reducing fertility potential</w:t>
      </w:r>
      <w:r w:rsidR="000173F0">
        <w:rPr>
          <w:rStyle w:val="Rimandonotadichiusura"/>
          <w:lang w:val="en-US"/>
        </w:rPr>
        <w:endnoteReference w:id="15"/>
      </w:r>
      <w:r w:rsidR="0072132A">
        <w:rPr>
          <w:rStyle w:val="Rimandonotadichiusura"/>
          <w:lang w:val="en-US"/>
        </w:rPr>
        <w:endnoteReference w:id="16"/>
      </w:r>
      <w:r w:rsidR="00335071">
        <w:rPr>
          <w:lang w:val="en-US"/>
        </w:rPr>
        <w:t>.</w:t>
      </w:r>
    </w:p>
    <w:p w14:paraId="40B6DA82" w14:textId="6D0C7BFD" w:rsidR="00C44CC1" w:rsidRPr="003C251B" w:rsidRDefault="00C44CC1" w:rsidP="00C44CC1">
      <w:pPr>
        <w:spacing w:line="360" w:lineRule="auto"/>
        <w:jc w:val="both"/>
        <w:rPr>
          <w:vertAlign w:val="superscript"/>
          <w:lang w:val="en-US"/>
        </w:rPr>
      </w:pPr>
      <w:r w:rsidRPr="006E7D97">
        <w:rPr>
          <w:lang w:val="en-US"/>
        </w:rPr>
        <w:t>Chronic oxidative stress generated within endometriotic lesions can amplify systemic inflammatory responses. Such alterations may indirectly shape the oral microbial ecosystem, influencing the host’s immune reactivity toward periodontal biofilm communitie</w:t>
      </w:r>
      <w:r w:rsidR="0072132A">
        <w:rPr>
          <w:lang w:val="en-US"/>
        </w:rPr>
        <w:t>s</w:t>
      </w:r>
      <w:r w:rsidR="00AD5E77">
        <w:rPr>
          <w:vertAlign w:val="superscript"/>
          <w:lang w:val="en-US"/>
        </w:rPr>
        <w:t>7</w:t>
      </w:r>
      <w:r w:rsidR="0017420D">
        <w:rPr>
          <w:lang w:val="en-US"/>
        </w:rPr>
        <w:t>.</w:t>
      </w:r>
    </w:p>
    <w:p w14:paraId="41E99082" w14:textId="7BEFBAF4" w:rsidR="00C44CC1" w:rsidRPr="006E7D97" w:rsidRDefault="00AC111D" w:rsidP="00C44CC1">
      <w:pPr>
        <w:spacing w:line="360" w:lineRule="auto"/>
        <w:jc w:val="both"/>
        <w:rPr>
          <w:lang w:val="en-US"/>
        </w:rPr>
      </w:pPr>
      <w:r w:rsidRPr="006E7D97">
        <w:rPr>
          <w:lang w:val="en-US"/>
        </w:rPr>
        <w:t>Moreover,</w:t>
      </w:r>
      <w:r w:rsidR="00C44CC1" w:rsidRPr="006E7D97">
        <w:rPr>
          <w:lang w:val="en-US"/>
        </w:rPr>
        <w:t xml:space="preserve"> specific microbial taxa appear to play a fundamental key role in this interplay. </w:t>
      </w:r>
    </w:p>
    <w:p w14:paraId="3859988E" w14:textId="0C00E80B" w:rsidR="00C44CC1" w:rsidRPr="006E7D97" w:rsidRDefault="00245D21" w:rsidP="00C44CC1">
      <w:pPr>
        <w:spacing w:line="360" w:lineRule="auto"/>
        <w:jc w:val="both"/>
        <w:rPr>
          <w:lang w:val="en-US"/>
        </w:rPr>
      </w:pPr>
      <w:r w:rsidRPr="00C355AF">
        <w:rPr>
          <w:color w:val="000000" w:themeColor="text1"/>
          <w:lang w:val="en-US"/>
        </w:rPr>
        <w:t xml:space="preserve">Indeed, </w:t>
      </w:r>
      <w:r w:rsidR="00C44CC1" w:rsidRPr="00C355AF">
        <w:rPr>
          <w:color w:val="000000" w:themeColor="text1"/>
          <w:lang w:val="en-US"/>
        </w:rPr>
        <w:t xml:space="preserve">Hicks </w:t>
      </w:r>
      <w:r w:rsidR="00C44CC1" w:rsidRPr="006E7D97">
        <w:rPr>
          <w:lang w:val="en-US"/>
        </w:rPr>
        <w:t xml:space="preserve">et al. (2025) reported an increase in </w:t>
      </w:r>
      <w:r w:rsidR="00C44CC1" w:rsidRPr="006E7D97">
        <w:rPr>
          <w:i/>
          <w:iCs/>
          <w:lang w:val="en-US"/>
        </w:rPr>
        <w:t>Fusobacterium Nucleatum</w:t>
      </w:r>
      <w:r w:rsidR="00C44CC1" w:rsidRPr="006E7D97">
        <w:rPr>
          <w:lang w:val="en-US"/>
        </w:rPr>
        <w:t xml:space="preserve"> in the oral microbiota of women with moderate to severe endometriosis</w:t>
      </w:r>
      <w:r w:rsidR="0072132A">
        <w:rPr>
          <w:rStyle w:val="Rimandonotadichiusura"/>
          <w:lang w:val="en-US"/>
        </w:rPr>
        <w:endnoteReference w:id="17"/>
      </w:r>
      <w:r w:rsidR="00335071">
        <w:rPr>
          <w:lang w:val="en-US"/>
        </w:rPr>
        <w:t>.</w:t>
      </w:r>
      <w:r w:rsidR="00C44CC1" w:rsidRPr="006E7D97">
        <w:rPr>
          <w:lang w:val="en-US"/>
        </w:rPr>
        <w:t xml:space="preserve"> In parallel, Muraoka et al. (2023) conducted experimental work demonstrating that </w:t>
      </w:r>
      <w:r w:rsidR="00C44CC1" w:rsidRPr="006E7D97">
        <w:rPr>
          <w:i/>
          <w:iCs/>
          <w:lang w:val="en-US"/>
        </w:rPr>
        <w:t xml:space="preserve">F. Nucleatum </w:t>
      </w:r>
      <w:r w:rsidR="00C44CC1" w:rsidRPr="006E7D97">
        <w:rPr>
          <w:lang w:val="en-US"/>
        </w:rPr>
        <w:t xml:space="preserve">can proliferate in ectopic endometrial tissue. This process involves the induction of fibroblast-to-myofibroblast transition via </w:t>
      </w:r>
      <w:r w:rsidR="00C44CC1" w:rsidRPr="001476B9">
        <w:rPr>
          <w:i/>
          <w:iCs/>
          <w:lang w:val="en-US"/>
        </w:rPr>
        <w:t xml:space="preserve">TGF-β and IL-6 </w:t>
      </w:r>
      <w:r w:rsidR="00C44CC1" w:rsidRPr="006E7D97">
        <w:rPr>
          <w:lang w:val="en-US"/>
        </w:rPr>
        <w:t>signalling, thereby promoting lesion development</w:t>
      </w:r>
      <w:r w:rsidR="0072132A">
        <w:rPr>
          <w:rStyle w:val="Rimandonotadichiusura"/>
          <w:lang w:val="en-US"/>
        </w:rPr>
        <w:endnoteReference w:id="18"/>
      </w:r>
      <w:r w:rsidR="00C44CC1" w:rsidRPr="006E7D97">
        <w:rPr>
          <w:lang w:val="en-US"/>
        </w:rPr>
        <w:t>.</w:t>
      </w:r>
    </w:p>
    <w:p w14:paraId="4FD4A07B" w14:textId="652A66DB" w:rsidR="00C44CC1" w:rsidRPr="003C251B" w:rsidRDefault="00C44CC1" w:rsidP="00C44CC1">
      <w:pPr>
        <w:spacing w:line="360" w:lineRule="auto"/>
        <w:jc w:val="both"/>
        <w:rPr>
          <w:lang w:val="en-US"/>
        </w:rPr>
      </w:pPr>
      <w:r w:rsidRPr="006E7D97">
        <w:rPr>
          <w:lang w:val="en-US"/>
        </w:rPr>
        <w:t>Together, these observations support the hypothesis that oral pathogens may act as systemic effectors in the pathogenesis of endometriosis.</w:t>
      </w:r>
    </w:p>
    <w:p w14:paraId="2B1D6B12" w14:textId="739727C1" w:rsidR="00C44CC1" w:rsidRPr="006E7D97" w:rsidRDefault="00DE5BF5" w:rsidP="00C44CC1">
      <w:pPr>
        <w:spacing w:line="360" w:lineRule="auto"/>
        <w:jc w:val="both"/>
        <w:rPr>
          <w:lang w:val="en-US"/>
        </w:rPr>
      </w:pPr>
      <w:r w:rsidRPr="006E7D97">
        <w:rPr>
          <w:lang w:val="en-US"/>
        </w:rPr>
        <w:t>Several</w:t>
      </w:r>
      <w:r w:rsidR="00C44CC1" w:rsidRPr="006E7D97">
        <w:rPr>
          <w:lang w:val="en-US"/>
        </w:rPr>
        <w:t xml:space="preserve"> novel therapeutic approaches are currently being explored in experimental models of endometriosis, further broadening the spectrum of potential management strategies</w:t>
      </w:r>
      <w:r w:rsidR="0072132A">
        <w:rPr>
          <w:rStyle w:val="Rimandonotadichiusura"/>
          <w:lang w:val="en-US"/>
        </w:rPr>
        <w:endnoteReference w:id="19"/>
      </w:r>
      <w:r w:rsidR="00335071">
        <w:rPr>
          <w:lang w:val="en-US"/>
        </w:rPr>
        <w:t>.</w:t>
      </w:r>
    </w:p>
    <w:p w14:paraId="22A169F5" w14:textId="38BDFC04" w:rsidR="00C44CC1" w:rsidRPr="00687257" w:rsidRDefault="00C44CC1" w:rsidP="00C44CC1">
      <w:pPr>
        <w:spacing w:line="360" w:lineRule="auto"/>
        <w:jc w:val="both"/>
        <w:rPr>
          <w:vertAlign w:val="superscript"/>
          <w:lang w:val="en-US"/>
        </w:rPr>
      </w:pPr>
      <w:r w:rsidRPr="006E7D97">
        <w:rPr>
          <w:lang w:val="en-US"/>
        </w:rPr>
        <w:lastRenderedPageBreak/>
        <w:t xml:space="preserve">Taken together, the evidence suggests that endometriosis and periodontal disease share overlapping microbial, inflammatory, oxidative stress, and bioenergetic mechanisms which may intersect with chronic inflammation and microbiome dysregulation in </w:t>
      </w:r>
      <w:r w:rsidRPr="00687257">
        <w:rPr>
          <w:lang w:val="en-US"/>
        </w:rPr>
        <w:t>endometriosis and periodontal disease</w:t>
      </w:r>
      <w:r w:rsidR="00335071" w:rsidRPr="00687257">
        <w:rPr>
          <w:lang w:val="en-US"/>
        </w:rPr>
        <w:t>.</w:t>
      </w:r>
    </w:p>
    <w:p w14:paraId="05FD9D1E" w14:textId="33966E9A" w:rsidR="00C44CC1" w:rsidRPr="00687257" w:rsidRDefault="00636375" w:rsidP="00C44CC1">
      <w:pPr>
        <w:spacing w:line="360" w:lineRule="auto"/>
        <w:jc w:val="both"/>
        <w:rPr>
          <w:lang w:val="en-US"/>
        </w:rPr>
      </w:pPr>
      <w:r w:rsidRPr="00687257">
        <w:rPr>
          <w:lang w:val="en-US"/>
        </w:rPr>
        <w:t>F</w:t>
      </w:r>
      <w:r w:rsidR="00C44CC1" w:rsidRPr="00687257">
        <w:rPr>
          <w:lang w:val="en-US"/>
        </w:rPr>
        <w:t>ew studies have directly examined the periodontal microbiota in women with endometriosis, and the potential use of salivary biomarkers as early diagnostic indicators remains largely unexplored</w:t>
      </w:r>
      <w:r w:rsidR="001A63D6" w:rsidRPr="00687257">
        <w:rPr>
          <w:rStyle w:val="Rimandonotadichiusura"/>
          <w:lang w:val="en-US"/>
        </w:rPr>
        <w:endnoteReference w:id="20"/>
      </w:r>
      <w:r w:rsidR="001A63D6" w:rsidRPr="00687257">
        <w:rPr>
          <w:lang w:val="en-US"/>
        </w:rPr>
        <w:t>.</w:t>
      </w:r>
    </w:p>
    <w:p w14:paraId="6D8128A4" w14:textId="118743B8" w:rsidR="00C44CC1" w:rsidRDefault="004067E2" w:rsidP="00C44CC1">
      <w:pPr>
        <w:spacing w:line="360" w:lineRule="auto"/>
        <w:jc w:val="both"/>
        <w:rPr>
          <w:lang w:val="en-US"/>
        </w:rPr>
      </w:pPr>
      <w:r w:rsidRPr="00687257">
        <w:rPr>
          <w:lang w:val="en-US"/>
        </w:rPr>
        <w:t xml:space="preserve">Therefore, </w:t>
      </w:r>
      <w:r w:rsidR="00C44CC1" w:rsidRPr="00687257">
        <w:rPr>
          <w:lang w:val="en-US"/>
        </w:rPr>
        <w:t xml:space="preserve">the relationship between female reproductive disorders and periodontal disease </w:t>
      </w:r>
      <w:r w:rsidRPr="00687257">
        <w:rPr>
          <w:lang w:val="en-US"/>
        </w:rPr>
        <w:t xml:space="preserve">appears </w:t>
      </w:r>
      <w:r w:rsidR="00C44CC1" w:rsidRPr="00687257">
        <w:rPr>
          <w:lang w:val="en-US"/>
        </w:rPr>
        <w:t xml:space="preserve">complex and multifactorial. It is crucial for healthcare professionals to understand </w:t>
      </w:r>
      <w:r w:rsidR="00C44CC1" w:rsidRPr="005F1689">
        <w:rPr>
          <w:lang w:val="en-US"/>
        </w:rPr>
        <w:t>this bidirectional relationship, as this may support earlier diagnosis and help reduce the risk of systemic conditions resulting from the primary disorder</w:t>
      </w:r>
      <w:r w:rsidR="004938E8" w:rsidRPr="005F1689">
        <w:rPr>
          <w:vertAlign w:val="superscript"/>
          <w:lang w:val="en-US"/>
        </w:rPr>
        <w:t>10</w:t>
      </w:r>
      <w:r w:rsidR="00C44CC1" w:rsidRPr="005F1689">
        <w:rPr>
          <w:lang w:val="en-US"/>
        </w:rPr>
        <w:t>.</w:t>
      </w:r>
      <w:r w:rsidR="00C355AF" w:rsidRPr="005F1689">
        <w:rPr>
          <w:lang w:val="en-US"/>
        </w:rPr>
        <w:t xml:space="preserve"> </w:t>
      </w:r>
      <w:r w:rsidR="00C44CC1" w:rsidRPr="005F1689">
        <w:rPr>
          <w:lang w:val="en-US"/>
        </w:rPr>
        <w:t xml:space="preserve">Furthermore, this knowledge </w:t>
      </w:r>
      <w:r w:rsidR="00C44CC1" w:rsidRPr="006E7D97">
        <w:rPr>
          <w:lang w:val="en-US"/>
        </w:rPr>
        <w:t xml:space="preserve">provides the basis for integrated care that addresses both oral and reproductive health in </w:t>
      </w:r>
      <w:r w:rsidR="00C44CC1" w:rsidRPr="00C355AF">
        <w:rPr>
          <w:color w:val="000000" w:themeColor="text1"/>
          <w:lang w:val="en-US"/>
        </w:rPr>
        <w:t>women</w:t>
      </w:r>
      <w:r w:rsidR="00B51BB4" w:rsidRPr="00C355AF">
        <w:rPr>
          <w:color w:val="000000" w:themeColor="text1"/>
          <w:lang w:val="en-US"/>
        </w:rPr>
        <w:t xml:space="preserve"> and further </w:t>
      </w:r>
      <w:r w:rsidR="00C44CC1" w:rsidRPr="00C355AF">
        <w:rPr>
          <w:color w:val="000000" w:themeColor="text1"/>
          <w:lang w:val="en-US"/>
        </w:rPr>
        <w:t xml:space="preserve">research </w:t>
      </w:r>
      <w:r w:rsidR="00C44CC1" w:rsidRPr="006E7D97">
        <w:rPr>
          <w:lang w:val="en-US"/>
        </w:rPr>
        <w:t>is needed to clarify the underlying mechanisms and develop targeted interventions to improve health outcomes for affected patients</w:t>
      </w:r>
      <w:r w:rsidR="003941F1">
        <w:rPr>
          <w:lang w:val="en-US"/>
        </w:rPr>
        <w:t>.</w:t>
      </w:r>
    </w:p>
    <w:p w14:paraId="42C1C016" w14:textId="759F0D9D" w:rsidR="006D27CE" w:rsidRPr="003C251B" w:rsidRDefault="003941F1" w:rsidP="006D27CE">
      <w:pPr>
        <w:rPr>
          <w:lang w:val="en-US"/>
        </w:rPr>
      </w:pPr>
      <w:r>
        <w:rPr>
          <w:lang w:val="en-US"/>
        </w:rPr>
        <w:br w:type="page"/>
      </w:r>
    </w:p>
    <w:p w14:paraId="2CD25556" w14:textId="4C451F19" w:rsidR="00E363D9" w:rsidRPr="00D80EF3" w:rsidRDefault="0081294F" w:rsidP="00C87459">
      <w:pPr>
        <w:pStyle w:val="Titolo1"/>
        <w:spacing w:line="360" w:lineRule="auto"/>
        <w:rPr>
          <w:rFonts w:cs="Times New Roman"/>
          <w:sz w:val="28"/>
          <w:szCs w:val="28"/>
          <w:lang w:val="en-US"/>
        </w:rPr>
      </w:pPr>
      <w:bookmarkStart w:id="4" w:name="_Toc219243268"/>
      <w:r w:rsidRPr="00D80EF3">
        <w:rPr>
          <w:rFonts w:cs="Times New Roman"/>
          <w:sz w:val="28"/>
          <w:szCs w:val="28"/>
          <w:lang w:val="en-US"/>
        </w:rPr>
        <w:lastRenderedPageBreak/>
        <w:t xml:space="preserve">1.1 </w:t>
      </w:r>
      <w:r w:rsidR="00250078" w:rsidRPr="00D80EF3">
        <w:rPr>
          <w:rFonts w:cs="Times New Roman"/>
          <w:sz w:val="28"/>
          <w:szCs w:val="28"/>
          <w:lang w:val="en-US"/>
        </w:rPr>
        <w:t>P</w:t>
      </w:r>
      <w:r w:rsidR="008124FE" w:rsidRPr="00D80EF3">
        <w:rPr>
          <w:rFonts w:cs="Times New Roman"/>
          <w:sz w:val="28"/>
          <w:szCs w:val="28"/>
          <w:lang w:val="en-US"/>
        </w:rPr>
        <w:t>eriodontal disease</w:t>
      </w:r>
      <w:bookmarkEnd w:id="4"/>
    </w:p>
    <w:p w14:paraId="0F3F32CC" w14:textId="4D626690" w:rsidR="00BD122B" w:rsidRPr="00BD122B" w:rsidRDefault="00BD122B" w:rsidP="00C87459">
      <w:pPr>
        <w:autoSpaceDE w:val="0"/>
        <w:autoSpaceDN w:val="0"/>
        <w:adjustRightInd w:val="0"/>
        <w:spacing w:line="360" w:lineRule="auto"/>
        <w:jc w:val="both"/>
        <w:rPr>
          <w:iCs/>
          <w:lang w:val="en-US"/>
        </w:rPr>
      </w:pPr>
      <w:r w:rsidRPr="00BD122B">
        <w:rPr>
          <w:iCs/>
          <w:lang w:val="en-US"/>
        </w:rPr>
        <w:t>Periodontal disease comprises a spectrum of inflammatory pathologies that impact the tissues supporting the teeth. Within this category, two distinct entities are typically recognized: gingivitis and periodontitis</w:t>
      </w:r>
      <w:r>
        <w:rPr>
          <w:rStyle w:val="Rimandonotadichiusura"/>
          <w:iCs/>
          <w:lang w:val="en-US"/>
        </w:rPr>
        <w:endnoteReference w:id="21"/>
      </w:r>
      <w:r w:rsidR="00225D52">
        <w:rPr>
          <w:iCs/>
          <w:lang w:val="en-US"/>
        </w:rPr>
        <w:t>.</w:t>
      </w:r>
    </w:p>
    <w:p w14:paraId="54CF9D18" w14:textId="12CF48FC" w:rsidR="00BD122B" w:rsidRPr="00BD122B" w:rsidRDefault="00BD122B" w:rsidP="00BD122B">
      <w:pPr>
        <w:autoSpaceDE w:val="0"/>
        <w:autoSpaceDN w:val="0"/>
        <w:adjustRightInd w:val="0"/>
        <w:spacing w:line="360" w:lineRule="auto"/>
        <w:jc w:val="both"/>
        <w:rPr>
          <w:iCs/>
          <w:lang w:val="en-US"/>
        </w:rPr>
      </w:pPr>
      <w:r w:rsidRPr="00BD122B">
        <w:rPr>
          <w:iCs/>
          <w:lang w:val="en-US"/>
        </w:rPr>
        <w:t>Gingivitis represents a reversible inflammatory condition limited to the gingival tissues without causing</w:t>
      </w:r>
      <w:r>
        <w:rPr>
          <w:iCs/>
          <w:lang w:val="en-US"/>
        </w:rPr>
        <w:t xml:space="preserve"> </w:t>
      </w:r>
      <w:r w:rsidRPr="00BD122B">
        <w:rPr>
          <w:iCs/>
          <w:lang w:val="en-US"/>
        </w:rPr>
        <w:t>attachment loss. Conversely, periodontitis is characterized as a multifactorial inflammatory disease involving irreversible destruction of the tooth-supporting apparatus, including the periodontal ligament and alveolar bone</w:t>
      </w:r>
      <w:r>
        <w:rPr>
          <w:rStyle w:val="Rimandonotadichiusura"/>
          <w:iCs/>
          <w:lang w:val="en-US"/>
        </w:rPr>
        <w:endnoteReference w:id="22"/>
      </w:r>
      <w:r w:rsidR="00225D52">
        <w:rPr>
          <w:iCs/>
          <w:lang w:val="en-US"/>
        </w:rPr>
        <w:t>.</w:t>
      </w:r>
    </w:p>
    <w:p w14:paraId="558E0A53" w14:textId="1E18E366" w:rsidR="00225D52" w:rsidRPr="00225D52" w:rsidRDefault="00225D52" w:rsidP="00E363D9">
      <w:pPr>
        <w:spacing w:line="360" w:lineRule="auto"/>
        <w:jc w:val="both"/>
        <w:rPr>
          <w:rFonts w:eastAsiaTheme="minorEastAsia"/>
          <w:lang w:val="en-US"/>
        </w:rPr>
      </w:pPr>
      <w:r w:rsidRPr="00225D52">
        <w:rPr>
          <w:rFonts w:eastAsiaTheme="minorEastAsia"/>
          <w:i/>
          <w:iCs/>
          <w:lang w:val="en-US"/>
        </w:rPr>
        <w:t>The American Academy of Periodontology (AAP)</w:t>
      </w:r>
      <w:r w:rsidRPr="00225D52">
        <w:rPr>
          <w:rFonts w:eastAsiaTheme="minorEastAsia"/>
          <w:lang w:val="en-US"/>
        </w:rPr>
        <w:t xml:space="preserve"> defines chronic periodontitis</w:t>
      </w:r>
      <w:r>
        <w:rPr>
          <w:rFonts w:eastAsiaTheme="minorEastAsia"/>
          <w:lang w:val="en-US"/>
        </w:rPr>
        <w:t>:</w:t>
      </w:r>
      <w:r>
        <w:rPr>
          <w:rFonts w:eastAsiaTheme="minorEastAsia"/>
          <w:i/>
          <w:iCs/>
          <w:lang w:val="en-US"/>
        </w:rPr>
        <w:t xml:space="preserve"> “</w:t>
      </w:r>
      <w:r>
        <w:rPr>
          <w:rFonts w:eastAsiaTheme="minorEastAsia"/>
          <w:i/>
          <w:iCs/>
          <w:vertAlign w:val="subscript"/>
          <w:lang w:val="en-US"/>
        </w:rPr>
        <w:t xml:space="preserve">[…] </w:t>
      </w:r>
      <w:r w:rsidRPr="00225D52">
        <w:rPr>
          <w:rFonts w:eastAsiaTheme="minorEastAsia"/>
          <w:i/>
          <w:iCs/>
          <w:lang w:val="en-US"/>
        </w:rPr>
        <w:t>as an inflammatory condition of the gingival tissues that extends to the adjacent tooth-supporting apparatus. This condition is characterized by clinical attachment loss (CAL), measured through probing depth assessment, resulting from the destruction of the periodontal ligament and the adjacent supporting bone</w:t>
      </w:r>
      <w:r w:rsidRPr="00225D52">
        <w:rPr>
          <w:rFonts w:eastAsiaTheme="minorEastAsia"/>
          <w:lang w:val="en-US"/>
        </w:rPr>
        <w:t>”</w:t>
      </w:r>
      <w:r>
        <w:rPr>
          <w:rStyle w:val="Rimandonotadichiusura"/>
          <w:rFonts w:eastAsiaTheme="minorEastAsia"/>
        </w:rPr>
        <w:endnoteReference w:id="23"/>
      </w:r>
      <w:r w:rsidR="00D73060">
        <w:rPr>
          <w:rFonts w:eastAsiaTheme="minorEastAsia"/>
          <w:lang w:val="en-US"/>
        </w:rPr>
        <w:t>.</w:t>
      </w:r>
    </w:p>
    <w:p w14:paraId="79F3CDB2" w14:textId="77848732" w:rsidR="00D73060" w:rsidRPr="00D73060" w:rsidRDefault="00D73060" w:rsidP="00D73060">
      <w:pPr>
        <w:spacing w:line="360" w:lineRule="auto"/>
        <w:jc w:val="both"/>
        <w:rPr>
          <w:lang w:val="en-US"/>
        </w:rPr>
      </w:pPr>
      <w:r w:rsidRPr="00D73060">
        <w:rPr>
          <w:lang w:val="en-US"/>
        </w:rPr>
        <w:t>Chronic periodontitis exerts a profound psychological influence on the individual's well-being, as it represents the leading cause of tooth loss in the adult population of industrialized nations. This condition can compromise mastication, speech, and esthetic appearance, resulting in significant psychological distress and social impairment</w:t>
      </w:r>
      <w:r w:rsidR="00EF6AAA">
        <w:rPr>
          <w:rStyle w:val="Rimandonotadichiusura"/>
          <w:lang w:val="en-US"/>
        </w:rPr>
        <w:endnoteReference w:id="24"/>
      </w:r>
      <w:r w:rsidR="006704DB">
        <w:rPr>
          <w:rStyle w:val="Rimandonotadichiusura"/>
          <w:lang w:val="en-US"/>
        </w:rPr>
        <w:endnoteReference w:id="25"/>
      </w:r>
      <w:r w:rsidRPr="00D73060">
        <w:rPr>
          <w:lang w:val="en-US"/>
        </w:rPr>
        <w:t>.</w:t>
      </w:r>
    </w:p>
    <w:p w14:paraId="19271E27" w14:textId="363C6B81" w:rsidR="00D73060" w:rsidRPr="00D73060" w:rsidRDefault="00D73060" w:rsidP="00D73060">
      <w:pPr>
        <w:spacing w:line="360" w:lineRule="auto"/>
        <w:jc w:val="both"/>
        <w:rPr>
          <w:lang w:val="en-US"/>
        </w:rPr>
      </w:pPr>
      <w:r w:rsidRPr="00D73060">
        <w:rPr>
          <w:lang w:val="en-US"/>
        </w:rPr>
        <w:t>The prevalence of periodontal disease varies based on ethnicity, geographic region, and age distribution. In the pediatric population, prevalence rates remain below 1%, while adult populations demonstrate prevalence rates approaching 30%. Studies from the National Health and Nutrition Examination Survey (NHANES) report that 42% of the adult population exhibits periodontitis, with prevalence increasing to approximately 68% in adults aged 65 years or older</w:t>
      </w:r>
      <w:r w:rsidR="006704DB">
        <w:rPr>
          <w:vertAlign w:val="superscript"/>
          <w:lang w:val="en-US"/>
        </w:rPr>
        <w:t>21</w:t>
      </w:r>
      <w:r w:rsidR="002C7E50">
        <w:rPr>
          <w:lang w:val="en-US"/>
        </w:rPr>
        <w:t>.</w:t>
      </w:r>
    </w:p>
    <w:p w14:paraId="0CBC74A5" w14:textId="03D23F71" w:rsidR="00D73060" w:rsidRPr="00D52989" w:rsidRDefault="00D73060" w:rsidP="00D73060">
      <w:pPr>
        <w:spacing w:line="360" w:lineRule="auto"/>
        <w:jc w:val="both"/>
        <w:rPr>
          <w:vertAlign w:val="superscript"/>
          <w:lang w:val="en-US"/>
        </w:rPr>
      </w:pPr>
      <w:r w:rsidRPr="00D73060">
        <w:rPr>
          <w:lang w:val="en-US"/>
        </w:rPr>
        <w:t>Chronic periodontitis develops gradually over time, commencing with gingivitis and progressing to advanced periodontal destruction, typically manifesting from the third to fourth decade of life onward. Research demonstrates that periodontitis constitutes a leading cause of tooth loss, with withdrawal from social activities reported due to aesthetic concerns and functional limitations related to mastication and phonation. Furthermore, untreated periodontitis results in alveolar bone resorption, progressive loss of the periodontal ligament, and formation of periodontal pockets, ultimately compromising overall quality of life</w:t>
      </w:r>
      <w:r w:rsidR="006704DB">
        <w:rPr>
          <w:vertAlign w:val="superscript"/>
          <w:lang w:val="en-US"/>
        </w:rPr>
        <w:t>20</w:t>
      </w:r>
      <w:r w:rsidR="00D52989">
        <w:rPr>
          <w:vertAlign w:val="superscript"/>
          <w:lang w:val="en-US"/>
        </w:rPr>
        <w:t>21</w:t>
      </w:r>
      <w:r w:rsidR="00A7013E">
        <w:rPr>
          <w:lang w:val="en-US"/>
        </w:rPr>
        <w:t>.</w:t>
      </w:r>
    </w:p>
    <w:p w14:paraId="33CC240D" w14:textId="77777777" w:rsidR="00D73060" w:rsidRPr="00D73060" w:rsidRDefault="00D73060" w:rsidP="00D73060">
      <w:pPr>
        <w:spacing w:line="360" w:lineRule="auto"/>
        <w:jc w:val="both"/>
        <w:rPr>
          <w:lang w:val="en-US"/>
        </w:rPr>
      </w:pPr>
    </w:p>
    <w:p w14:paraId="2272A137" w14:textId="77777777" w:rsidR="00BD0935" w:rsidRPr="00A7013E" w:rsidRDefault="00BD0935" w:rsidP="00E363D9">
      <w:pPr>
        <w:spacing w:line="360" w:lineRule="auto"/>
        <w:jc w:val="both"/>
        <w:rPr>
          <w:lang w:val="en-US"/>
        </w:rPr>
      </w:pPr>
    </w:p>
    <w:p w14:paraId="4F8AF1EA" w14:textId="65B52728" w:rsidR="00BD0935" w:rsidRPr="004D10FB" w:rsidRDefault="00BD0935" w:rsidP="00C87459">
      <w:pPr>
        <w:pStyle w:val="Titolo2"/>
        <w:spacing w:line="360" w:lineRule="auto"/>
        <w:rPr>
          <w:rFonts w:cs="Times New Roman"/>
          <w:sz w:val="28"/>
          <w:szCs w:val="28"/>
          <w:lang w:val="en-US"/>
        </w:rPr>
      </w:pPr>
      <w:bookmarkStart w:id="5" w:name="_Toc219243269"/>
      <w:r w:rsidRPr="004D10FB">
        <w:rPr>
          <w:rFonts w:cs="Times New Roman"/>
          <w:sz w:val="28"/>
          <w:szCs w:val="28"/>
          <w:lang w:val="en-US"/>
        </w:rPr>
        <w:t xml:space="preserve">1.1.1 </w:t>
      </w:r>
      <w:r w:rsidR="00FC6E4A" w:rsidRPr="004D10FB">
        <w:rPr>
          <w:rFonts w:cs="Times New Roman"/>
          <w:sz w:val="28"/>
          <w:szCs w:val="28"/>
          <w:lang w:val="en-US"/>
        </w:rPr>
        <w:t>Pathogenesis</w:t>
      </w:r>
      <w:bookmarkEnd w:id="5"/>
    </w:p>
    <w:p w14:paraId="36B4E7A2" w14:textId="3EF256EE" w:rsidR="004924D6" w:rsidRPr="004924D6" w:rsidRDefault="00AD5E77" w:rsidP="00C87459">
      <w:pPr>
        <w:autoSpaceDE w:val="0"/>
        <w:autoSpaceDN w:val="0"/>
        <w:adjustRightInd w:val="0"/>
        <w:spacing w:line="360" w:lineRule="auto"/>
        <w:jc w:val="both"/>
        <w:rPr>
          <w:lang w:val="en-US"/>
        </w:rPr>
      </w:pPr>
      <w:r w:rsidRPr="00AD5E77">
        <w:rPr>
          <w:lang w:val="en-US"/>
        </w:rPr>
        <w:t>Periodontitis develops through the action of specific pathogenic bacteria that evoke an amplified inflammatory reaction localized to gingival tissues</w:t>
      </w:r>
      <w:r w:rsidR="00E363D9">
        <w:rPr>
          <w:rStyle w:val="Rimandonotadichiusura"/>
        </w:rPr>
        <w:endnoteReference w:id="26"/>
      </w:r>
      <w:r w:rsidR="00E363D9">
        <w:rPr>
          <w:rStyle w:val="Rimandonotadichiusura"/>
        </w:rPr>
        <w:endnoteReference w:id="27"/>
      </w:r>
      <w:r w:rsidRPr="00AD5E77">
        <w:rPr>
          <w:lang w:val="en-US"/>
        </w:rPr>
        <w:t>.</w:t>
      </w:r>
      <w:r w:rsidRPr="00AD5E77">
        <w:rPr>
          <w:rFonts w:ascii="Segoe UI" w:hAnsi="Segoe UI" w:cs="Segoe UI"/>
          <w:spacing w:val="1"/>
          <w:lang w:val="en-US"/>
        </w:rPr>
        <w:t xml:space="preserve"> </w:t>
      </w:r>
      <w:r w:rsidRPr="00AD5E77">
        <w:rPr>
          <w:lang w:val="en-US"/>
        </w:rPr>
        <w:t>These bacteria</w:t>
      </w:r>
      <w:r w:rsidR="004924D6">
        <w:rPr>
          <w:lang w:val="en-US"/>
        </w:rPr>
        <w:t xml:space="preserve"> </w:t>
      </w:r>
      <w:r w:rsidRPr="00AD5E77">
        <w:rPr>
          <w:lang w:val="en-US"/>
        </w:rPr>
        <w:t>appear to be acquired at early stages of life</w:t>
      </w:r>
      <w:r w:rsidR="00041115">
        <w:rPr>
          <w:lang w:val="el-GR"/>
        </w:rPr>
        <w:t>:</w:t>
      </w:r>
      <w:r w:rsidRPr="00AD5E77">
        <w:rPr>
          <w:lang w:val="en-US"/>
        </w:rPr>
        <w:t xml:space="preserve"> </w:t>
      </w:r>
      <w:r w:rsidR="00041115">
        <w:rPr>
          <w:lang w:val="en-US"/>
        </w:rPr>
        <w:t>as supported by literature</w:t>
      </w:r>
      <w:r w:rsidR="00FD34D3" w:rsidRPr="002F7DB4">
        <w:rPr>
          <w:lang w:val="en-US"/>
        </w:rPr>
        <w:t xml:space="preserve">, there is a </w:t>
      </w:r>
      <w:r w:rsidRPr="00AD5E77">
        <w:rPr>
          <w:lang w:val="en-US"/>
        </w:rPr>
        <w:t>vertical transmission from parents to offspring or horizontal transmission between intimate partners</w:t>
      </w:r>
      <w:r w:rsidR="00E363D9" w:rsidRPr="00671604">
        <w:rPr>
          <w:rStyle w:val="Rimandonotadichiusura"/>
        </w:rPr>
        <w:endnoteReference w:id="28"/>
      </w:r>
      <w:r w:rsidRPr="00AD5E77">
        <w:rPr>
          <w:lang w:val="en-US"/>
        </w:rPr>
        <w:t>.</w:t>
      </w:r>
      <w:r w:rsidR="00E363D9" w:rsidRPr="00AD5E77">
        <w:rPr>
          <w:lang w:val="en-US"/>
        </w:rPr>
        <w:t xml:space="preserve"> </w:t>
      </w:r>
      <w:r w:rsidR="00FD34D3">
        <w:rPr>
          <w:lang w:val="en-US"/>
        </w:rPr>
        <w:t>The</w:t>
      </w:r>
      <w:r w:rsidR="004924D6" w:rsidRPr="004924D6">
        <w:rPr>
          <w:lang w:val="en-US"/>
        </w:rPr>
        <w:t xml:space="preserve"> etiological factor underlying periodontal disease is consequently the accumulation of specific bacterial taxa that collectively constitute bacterial dental plaque. According to the definition established by </w:t>
      </w:r>
      <w:r w:rsidR="004924D6" w:rsidRPr="001476B9">
        <w:rPr>
          <w:lang w:val="en-US"/>
        </w:rPr>
        <w:t xml:space="preserve">Wilderer and Charaklis in 1989, dental plaque is characterized as </w:t>
      </w:r>
      <w:r w:rsidR="00C83710" w:rsidRPr="001476B9">
        <w:rPr>
          <w:lang w:val="en-US"/>
        </w:rPr>
        <w:t>“</w:t>
      </w:r>
      <w:r w:rsidR="004924D6" w:rsidRPr="001476B9">
        <w:rPr>
          <w:i/>
          <w:iCs/>
          <w:lang w:val="en-US"/>
        </w:rPr>
        <w:t>a biofilm constituting of bacterial material adhered to tooth surfaces or to any other hard non-shedding substrate</w:t>
      </w:r>
      <w:r w:rsidR="00C83710" w:rsidRPr="001476B9">
        <w:rPr>
          <w:lang w:val="en-US"/>
        </w:rPr>
        <w:t>”</w:t>
      </w:r>
      <w:r w:rsidR="001476B9" w:rsidRPr="001476B9">
        <w:rPr>
          <w:rStyle w:val="Rimandonotadichiusura"/>
          <w:lang w:val="en-US"/>
        </w:rPr>
        <w:endnoteReference w:id="29"/>
      </w:r>
      <w:r w:rsidR="004924D6" w:rsidRPr="001476B9">
        <w:rPr>
          <w:lang w:val="en-US"/>
        </w:rPr>
        <w:t>.</w:t>
      </w:r>
    </w:p>
    <w:p w14:paraId="7CB5DCCD" w14:textId="52F23B5A" w:rsidR="004924D6" w:rsidRPr="004924D6" w:rsidRDefault="004924D6" w:rsidP="004924D6">
      <w:pPr>
        <w:autoSpaceDE w:val="0"/>
        <w:autoSpaceDN w:val="0"/>
        <w:adjustRightInd w:val="0"/>
        <w:spacing w:line="360" w:lineRule="auto"/>
        <w:jc w:val="both"/>
        <w:rPr>
          <w:lang w:val="en-US"/>
        </w:rPr>
      </w:pPr>
      <w:r w:rsidRPr="004924D6">
        <w:rPr>
          <w:lang w:val="en-US"/>
        </w:rPr>
        <w:t>The accumulation of this microbial deposit between the tooth surface and gingival tissues precipitates a significant local inflammatory response mediated by the associated gingival tissues.</w:t>
      </w:r>
      <w:r w:rsidR="00E363D9" w:rsidRPr="004924D6">
        <w:rPr>
          <w:vertAlign w:val="superscript"/>
          <w:lang w:val="en-US"/>
        </w:rPr>
        <w:t>199</w:t>
      </w:r>
      <w:r w:rsidR="00AD5E77" w:rsidRPr="004924D6">
        <w:rPr>
          <w:lang w:val="en-US"/>
        </w:rPr>
        <w:t>;</w:t>
      </w:r>
      <w:r w:rsidRPr="004924D6">
        <w:rPr>
          <w:rFonts w:ascii="Segoe UI" w:hAnsi="Segoe UI" w:cs="Segoe UI"/>
          <w:spacing w:val="1"/>
          <w:lang w:val="en-US"/>
        </w:rPr>
        <w:t xml:space="preserve"> </w:t>
      </w:r>
      <w:r>
        <w:rPr>
          <w:lang w:val="en-US"/>
        </w:rPr>
        <w:t>c</w:t>
      </w:r>
      <w:r w:rsidRPr="004924D6">
        <w:rPr>
          <w:lang w:val="en-US"/>
        </w:rPr>
        <w:t>linically, gingival tissue exhibits heterogeneous inflammatory changes, frequently characterized by variable degrees of tissue atrophy or, alternatively, fibrotic hypertrophy, edematous swelling, erythema, bleeding upon probing, and in severe cases, purulent discharge.</w:t>
      </w:r>
    </w:p>
    <w:p w14:paraId="5209AACE" w14:textId="28D2D299" w:rsidR="00E363D9" w:rsidRPr="00F123C2" w:rsidRDefault="004924D6" w:rsidP="00E363D9">
      <w:pPr>
        <w:autoSpaceDE w:val="0"/>
        <w:autoSpaceDN w:val="0"/>
        <w:adjustRightInd w:val="0"/>
        <w:spacing w:line="360" w:lineRule="auto"/>
        <w:jc w:val="both"/>
        <w:rPr>
          <w:i/>
          <w:iCs/>
          <w:lang w:val="en-US"/>
        </w:rPr>
      </w:pPr>
      <w:r w:rsidRPr="004924D6">
        <w:rPr>
          <w:lang w:val="en-US"/>
        </w:rPr>
        <w:t>The initiation of an inflammatory response fulfills a dual function: on one hand, it provides a protective mechanism against bacterial invasion and preserves host defense mechanisms; on the other hand, when the inflammatory reaction becomes exaggerated, persistent, and insufficiently regulated, it precipitates irreversible destruction of the periodontal apparatus</w:t>
      </w:r>
      <w:r w:rsidR="004938E8">
        <w:rPr>
          <w:rStyle w:val="Rimandonotadichiusura"/>
          <w:lang w:val="en-US"/>
        </w:rPr>
        <w:endnoteReference w:id="30"/>
      </w:r>
      <w:r w:rsidRPr="004924D6">
        <w:rPr>
          <w:lang w:val="en-US"/>
        </w:rPr>
        <w:t>.</w:t>
      </w:r>
      <w:r w:rsidR="00820845">
        <w:rPr>
          <w:color w:val="C0504D" w:themeColor="accent2"/>
          <w:lang w:val="en-US"/>
        </w:rPr>
        <w:t xml:space="preserve"> </w:t>
      </w:r>
      <w:r w:rsidRPr="004924D6">
        <w:rPr>
          <w:lang w:val="en-US"/>
        </w:rPr>
        <w:t>The dysregulation of the inflammatory cascade, characterized by excessive production of pro-inflammatory mediators, overwhelms the host's capacity for tissue remodeling and repair, thereby driving progressive periodontal tissue destruction</w:t>
      </w:r>
      <w:r w:rsidR="00E363D9" w:rsidRPr="00671604">
        <w:rPr>
          <w:rStyle w:val="Rimandonotadichiusura"/>
        </w:rPr>
        <w:endnoteReference w:id="31"/>
      </w:r>
      <w:r w:rsidR="00E363D9" w:rsidRPr="00671604">
        <w:rPr>
          <w:rStyle w:val="Rimandonotadichiusura"/>
        </w:rPr>
        <w:endnoteReference w:id="32"/>
      </w:r>
      <w:r w:rsidR="00AD5E77" w:rsidRPr="00817C85">
        <w:rPr>
          <w:lang w:val="en-US"/>
        </w:rPr>
        <w:t>.</w:t>
      </w:r>
      <w:r w:rsidR="00F123C2">
        <w:rPr>
          <w:lang w:val="en-US"/>
        </w:rPr>
        <w:t xml:space="preserve"> </w:t>
      </w:r>
      <w:r w:rsidR="00F123C2" w:rsidRPr="00F123C2">
        <w:rPr>
          <w:i/>
          <w:iCs/>
          <w:lang w:val="en-US"/>
        </w:rPr>
        <w:t>(Figure 1)</w:t>
      </w:r>
    </w:p>
    <w:p w14:paraId="42FB429A" w14:textId="4DF70F0A" w:rsidR="00817C85" w:rsidRPr="00817C85" w:rsidRDefault="00817C85" w:rsidP="00817C85">
      <w:pPr>
        <w:autoSpaceDE w:val="0"/>
        <w:autoSpaceDN w:val="0"/>
        <w:adjustRightInd w:val="0"/>
        <w:spacing w:line="360" w:lineRule="auto"/>
        <w:jc w:val="both"/>
        <w:rPr>
          <w:lang w:val="en-US"/>
        </w:rPr>
      </w:pPr>
      <w:r w:rsidRPr="00817C85">
        <w:rPr>
          <w:lang w:val="en-US"/>
        </w:rPr>
        <w:t xml:space="preserve">The tendency of inflamed regions to undergo irreversible structural tissue destruction exhibits pathogen specificity, as not all lesions initiated by gingivitis progress to periodontitis. According to the specific plaque hypothesis formulated by Loesche </w:t>
      </w:r>
      <w:r>
        <w:rPr>
          <w:lang w:val="en-US"/>
        </w:rPr>
        <w:t>et al (1979)</w:t>
      </w:r>
      <w:r w:rsidRPr="00817C85">
        <w:rPr>
          <w:lang w:val="en-US"/>
        </w:rPr>
        <w:t xml:space="preserve">, a higher risk of tissue destruction was identified at sites colonized by </w:t>
      </w:r>
      <w:r w:rsidR="00DE5BF5" w:rsidRPr="00817C85">
        <w:rPr>
          <w:lang w:val="en-US"/>
        </w:rPr>
        <w:t>periodontal</w:t>
      </w:r>
      <w:r w:rsidRPr="00817C85">
        <w:rPr>
          <w:lang w:val="en-US"/>
        </w:rPr>
        <w:t xml:space="preserve"> pathogens in comparison to other microbial species</w:t>
      </w:r>
      <w:r>
        <w:rPr>
          <w:rStyle w:val="Rimandonotadichiusura"/>
          <w:lang w:val="en-US"/>
        </w:rPr>
        <w:endnoteReference w:id="33"/>
      </w:r>
      <w:r w:rsidR="002C7E50">
        <w:rPr>
          <w:lang w:val="en-US"/>
        </w:rPr>
        <w:t>.</w:t>
      </w:r>
    </w:p>
    <w:p w14:paraId="57EA8A39" w14:textId="20E6F20D" w:rsidR="00E363D9" w:rsidRPr="00817C85" w:rsidRDefault="00817C85" w:rsidP="00E363D9">
      <w:pPr>
        <w:autoSpaceDE w:val="0"/>
        <w:autoSpaceDN w:val="0"/>
        <w:adjustRightInd w:val="0"/>
        <w:spacing w:line="360" w:lineRule="auto"/>
        <w:jc w:val="both"/>
        <w:rPr>
          <w:lang w:val="en-US"/>
        </w:rPr>
      </w:pPr>
      <w:r w:rsidRPr="00817C85">
        <w:rPr>
          <w:lang w:val="en-US"/>
        </w:rPr>
        <w:t>The bacterial pathogens most frequently isolated from active periodontal sites include three aerobic species:</w:t>
      </w:r>
      <w:r w:rsidR="00C83710">
        <w:rPr>
          <w:lang w:val="en-US"/>
        </w:rPr>
        <w:t xml:space="preserve"> </w:t>
      </w:r>
      <w:r w:rsidRPr="00817C85">
        <w:rPr>
          <w:i/>
          <w:iCs/>
          <w:lang w:val="en-US"/>
        </w:rPr>
        <w:t>Actinobacillus actinomycetemcomitans</w:t>
      </w:r>
      <w:r w:rsidRPr="00817C85">
        <w:rPr>
          <w:lang w:val="en-US"/>
        </w:rPr>
        <w:t>,</w:t>
      </w:r>
      <w:r w:rsidR="00C83710">
        <w:rPr>
          <w:lang w:val="en-US"/>
        </w:rPr>
        <w:t xml:space="preserve"> </w:t>
      </w:r>
      <w:r w:rsidRPr="00817C85">
        <w:rPr>
          <w:i/>
          <w:iCs/>
          <w:lang w:val="en-US"/>
        </w:rPr>
        <w:t>Campylobacter rectus</w:t>
      </w:r>
      <w:r w:rsidRPr="00817C85">
        <w:rPr>
          <w:lang w:val="en-US"/>
        </w:rPr>
        <w:t>, and</w:t>
      </w:r>
      <w:r w:rsidR="00C83710">
        <w:rPr>
          <w:lang w:val="en-US"/>
        </w:rPr>
        <w:t xml:space="preserve"> </w:t>
      </w:r>
      <w:r w:rsidRPr="00817C85">
        <w:rPr>
          <w:i/>
          <w:iCs/>
          <w:lang w:val="en-US"/>
        </w:rPr>
        <w:lastRenderedPageBreak/>
        <w:t>Eikenella corrodens</w:t>
      </w:r>
      <w:r w:rsidRPr="00817C85">
        <w:rPr>
          <w:lang w:val="en-US"/>
        </w:rPr>
        <w:t>. Additionally, seven anaerobic species have been consistently identified:</w:t>
      </w:r>
      <w:r w:rsidR="00C83710">
        <w:rPr>
          <w:lang w:val="en-US"/>
        </w:rPr>
        <w:t xml:space="preserve"> </w:t>
      </w:r>
      <w:r w:rsidRPr="00817C85">
        <w:rPr>
          <w:i/>
          <w:iCs/>
          <w:lang w:val="en-US"/>
        </w:rPr>
        <w:t>Porphyromonas</w:t>
      </w:r>
      <w:r w:rsidR="002C7E50">
        <w:rPr>
          <w:i/>
          <w:iCs/>
          <w:lang w:val="en-US"/>
        </w:rPr>
        <w:t xml:space="preserve"> </w:t>
      </w:r>
      <w:r w:rsidRPr="00817C85">
        <w:rPr>
          <w:i/>
          <w:iCs/>
          <w:lang w:val="en-US"/>
        </w:rPr>
        <w:t>gingivalis</w:t>
      </w:r>
      <w:r w:rsidRPr="00817C85">
        <w:rPr>
          <w:lang w:val="en-US"/>
        </w:rPr>
        <w:t>,</w:t>
      </w:r>
      <w:r w:rsidR="00C83710">
        <w:rPr>
          <w:lang w:val="en-US"/>
        </w:rPr>
        <w:t xml:space="preserve"> </w:t>
      </w:r>
      <w:r w:rsidRPr="00817C85">
        <w:rPr>
          <w:i/>
          <w:iCs/>
          <w:lang w:val="en-US"/>
        </w:rPr>
        <w:t>Bacteroides forsythus</w:t>
      </w:r>
      <w:r w:rsidRPr="00817C85">
        <w:rPr>
          <w:lang w:val="en-US"/>
        </w:rPr>
        <w:t>,</w:t>
      </w:r>
      <w:r w:rsidR="00C83710">
        <w:rPr>
          <w:lang w:val="en-US"/>
        </w:rPr>
        <w:t xml:space="preserve"> </w:t>
      </w:r>
      <w:r w:rsidRPr="00817C85">
        <w:rPr>
          <w:i/>
          <w:iCs/>
          <w:lang w:val="en-US"/>
        </w:rPr>
        <w:t>Treponema denticola</w:t>
      </w:r>
      <w:r w:rsidRPr="00817C85">
        <w:rPr>
          <w:lang w:val="en-US"/>
        </w:rPr>
        <w:t>,</w:t>
      </w:r>
      <w:r w:rsidR="00C83710">
        <w:rPr>
          <w:lang w:val="en-US"/>
        </w:rPr>
        <w:t xml:space="preserve"> </w:t>
      </w:r>
      <w:r w:rsidRPr="00817C85">
        <w:rPr>
          <w:i/>
          <w:iCs/>
          <w:lang w:val="en-US"/>
        </w:rPr>
        <w:t>Prevotella intermedia</w:t>
      </w:r>
      <w:r w:rsidRPr="00817C85">
        <w:rPr>
          <w:lang w:val="en-US"/>
        </w:rPr>
        <w:t>,</w:t>
      </w:r>
      <w:r w:rsidR="00C83710">
        <w:rPr>
          <w:lang w:val="en-US"/>
        </w:rPr>
        <w:t xml:space="preserve"> </w:t>
      </w:r>
      <w:r w:rsidRPr="00817C85">
        <w:rPr>
          <w:i/>
          <w:iCs/>
          <w:lang w:val="en-US"/>
        </w:rPr>
        <w:t>Fusobacterium nucleatum</w:t>
      </w:r>
      <w:r w:rsidRPr="00817C85">
        <w:rPr>
          <w:lang w:val="en-US"/>
        </w:rPr>
        <w:t>,</w:t>
      </w:r>
      <w:r w:rsidR="00C83710">
        <w:rPr>
          <w:lang w:val="en-US"/>
        </w:rPr>
        <w:t xml:space="preserve"> </w:t>
      </w:r>
      <w:r w:rsidRPr="00817C85">
        <w:rPr>
          <w:i/>
          <w:iCs/>
          <w:lang w:val="en-US"/>
        </w:rPr>
        <w:t>Eubacterium</w:t>
      </w:r>
      <w:r w:rsidR="00C83710">
        <w:rPr>
          <w:lang w:val="en-US"/>
        </w:rPr>
        <w:t xml:space="preserve"> </w:t>
      </w:r>
      <w:r w:rsidRPr="00817C85">
        <w:rPr>
          <w:lang w:val="en-US"/>
        </w:rPr>
        <w:t>species, and oral spirochetes. These organisms demonstrate enhanced pathogenic potential through the production of virulence factors including lipopolysaccharides (LPS), proteolytic enzymes, and immunomodulatory toxins that directly compromise host tissue integrity</w:t>
      </w:r>
      <w:r w:rsidR="00E363D9" w:rsidRPr="009062C6">
        <w:rPr>
          <w:rStyle w:val="Rimandonotadichiusura"/>
        </w:rPr>
        <w:endnoteReference w:id="34"/>
      </w:r>
      <w:r>
        <w:rPr>
          <w:lang w:val="en-US"/>
        </w:rPr>
        <w:t>.</w:t>
      </w:r>
    </w:p>
    <w:p w14:paraId="5BC585B8" w14:textId="603CBCBF" w:rsidR="00E363D9" w:rsidRPr="00817C85" w:rsidRDefault="00DE5BF5" w:rsidP="00E363D9">
      <w:pPr>
        <w:autoSpaceDE w:val="0"/>
        <w:autoSpaceDN w:val="0"/>
        <w:adjustRightInd w:val="0"/>
        <w:spacing w:line="360" w:lineRule="auto"/>
        <w:jc w:val="both"/>
        <w:rPr>
          <w:lang w:val="en-US"/>
        </w:rPr>
      </w:pPr>
      <w:r w:rsidRPr="00817C85">
        <w:rPr>
          <w:lang w:val="en-US"/>
        </w:rPr>
        <w:t>As</w:t>
      </w:r>
      <w:r w:rsidR="00817C85" w:rsidRPr="00817C85">
        <w:rPr>
          <w:lang w:val="en-US"/>
        </w:rPr>
        <w:t xml:space="preserve"> in many opportunistic infections, the presence of bacteria alone does not explain the development of periodontitis, but periodontitis does not develop in their absence. In other words, the infectious agent is necessary but not sufficient to understand the development of the disease</w:t>
      </w:r>
      <w:r w:rsidR="00E363D9" w:rsidRPr="009062C6">
        <w:rPr>
          <w:rStyle w:val="Rimandonotadichiusura"/>
        </w:rPr>
        <w:endnoteReference w:id="35"/>
      </w:r>
      <w:r w:rsidR="00817C85" w:rsidRPr="00817C85">
        <w:rPr>
          <w:lang w:val="en-US"/>
        </w:rPr>
        <w:t>.</w:t>
      </w:r>
    </w:p>
    <w:p w14:paraId="01AEB7D2" w14:textId="345B7F85" w:rsidR="002C7E50" w:rsidRDefault="00817C85" w:rsidP="00817C85">
      <w:pPr>
        <w:autoSpaceDE w:val="0"/>
        <w:autoSpaceDN w:val="0"/>
        <w:adjustRightInd w:val="0"/>
        <w:spacing w:line="360" w:lineRule="auto"/>
        <w:jc w:val="both"/>
        <w:rPr>
          <w:color w:val="000000" w:themeColor="text1"/>
          <w:lang w:val="en-US"/>
        </w:rPr>
      </w:pPr>
      <w:r w:rsidRPr="00817C85">
        <w:rPr>
          <w:color w:val="000000" w:themeColor="text1"/>
          <w:lang w:val="en-US"/>
        </w:rPr>
        <w:t xml:space="preserve">Therefore, bacteria represent the </w:t>
      </w:r>
      <w:r w:rsidRPr="00817C85">
        <w:rPr>
          <w:i/>
          <w:iCs/>
          <w:color w:val="000000" w:themeColor="text1"/>
          <w:lang w:val="en-US"/>
        </w:rPr>
        <w:t>primum movens</w:t>
      </w:r>
      <w:r w:rsidRPr="00817C85">
        <w:rPr>
          <w:color w:val="000000" w:themeColor="text1"/>
          <w:lang w:val="en-US"/>
        </w:rPr>
        <w:t xml:space="preserve"> of periodontal damage, while the pathogenesis of the disease depends primarily on at least two-thirds of the damage resulting from the host's inflammatory response</w:t>
      </w:r>
      <w:r>
        <w:rPr>
          <w:rStyle w:val="Rimandonotadichiusura"/>
          <w:color w:val="000000" w:themeColor="text1"/>
          <w:lang w:val="en-US"/>
        </w:rPr>
        <w:endnoteReference w:id="36"/>
      </w:r>
      <w:r>
        <w:rPr>
          <w:rStyle w:val="Rimandonotadichiusura"/>
          <w:color w:val="000000" w:themeColor="text1"/>
          <w:lang w:val="en-US"/>
        </w:rPr>
        <w:endnoteReference w:id="37"/>
      </w:r>
      <w:r w:rsidRPr="00817C85">
        <w:rPr>
          <w:color w:val="000000" w:themeColor="text1"/>
          <w:lang w:val="en-US"/>
        </w:rPr>
        <w:t>.</w:t>
      </w:r>
    </w:p>
    <w:p w14:paraId="7547E799" w14:textId="2198E5A5" w:rsidR="00817C85" w:rsidRPr="00817C85" w:rsidRDefault="00817C85" w:rsidP="00817C85">
      <w:pPr>
        <w:autoSpaceDE w:val="0"/>
        <w:autoSpaceDN w:val="0"/>
        <w:adjustRightInd w:val="0"/>
        <w:spacing w:line="360" w:lineRule="auto"/>
        <w:jc w:val="both"/>
        <w:rPr>
          <w:color w:val="000000" w:themeColor="text1"/>
          <w:lang w:val="en-US"/>
        </w:rPr>
      </w:pPr>
      <w:r w:rsidRPr="00817C85">
        <w:rPr>
          <w:color w:val="000000" w:themeColor="text1"/>
          <w:lang w:val="en-US"/>
        </w:rPr>
        <w:t>Specifically, bacterial factors consist of products of bacterial metabolism, such as sulfur dioxide or enzymes like bacterial collagenase or lipopolysaccharide (</w:t>
      </w:r>
      <w:r w:rsidRPr="00817C85">
        <w:rPr>
          <w:i/>
          <w:iCs/>
          <w:color w:val="000000" w:themeColor="text1"/>
          <w:lang w:val="en-US"/>
        </w:rPr>
        <w:t>LPS</w:t>
      </w:r>
      <w:r w:rsidRPr="00817C85">
        <w:rPr>
          <w:color w:val="000000" w:themeColor="text1"/>
          <w:lang w:val="en-US"/>
        </w:rPr>
        <w:t>), which exert direct toxic effects on attachment apparatus cells and alveolar bone cells. Conversely, damaging factors derived from the host principally originate from the activation of both specific and innate immunity triggered by bacterial factors</w:t>
      </w:r>
      <w:r w:rsidR="00C9193E">
        <w:rPr>
          <w:rStyle w:val="Rimandonotadichiusura"/>
          <w:color w:val="000000" w:themeColor="text1"/>
          <w:lang w:val="en-US"/>
        </w:rPr>
        <w:endnoteReference w:id="38"/>
      </w:r>
      <w:r w:rsidRPr="00817C85">
        <w:rPr>
          <w:color w:val="000000" w:themeColor="text1"/>
          <w:lang w:val="en-US"/>
        </w:rPr>
        <w:t>.</w:t>
      </w:r>
    </w:p>
    <w:p w14:paraId="628CD57C" w14:textId="4CC20798" w:rsidR="00817C85" w:rsidRPr="00817C85" w:rsidRDefault="00817C85" w:rsidP="00817C85">
      <w:pPr>
        <w:autoSpaceDE w:val="0"/>
        <w:autoSpaceDN w:val="0"/>
        <w:adjustRightInd w:val="0"/>
        <w:spacing w:line="360" w:lineRule="auto"/>
        <w:jc w:val="both"/>
        <w:rPr>
          <w:color w:val="000000" w:themeColor="text1"/>
          <w:lang w:val="en-US"/>
        </w:rPr>
      </w:pPr>
      <w:r w:rsidRPr="00817C85">
        <w:rPr>
          <w:color w:val="000000" w:themeColor="text1"/>
          <w:lang w:val="en-US"/>
        </w:rPr>
        <w:t xml:space="preserve">Periodontitis is a disease in which the immune system plays a significant role in determining tissue lesions; it is an </w:t>
      </w:r>
      <w:r w:rsidR="00FC5480">
        <w:rPr>
          <w:color w:val="000000" w:themeColor="text1"/>
          <w:lang w:val="en-US"/>
        </w:rPr>
        <w:t>“</w:t>
      </w:r>
      <w:r w:rsidRPr="00817C85">
        <w:rPr>
          <w:color w:val="000000" w:themeColor="text1"/>
          <w:lang w:val="en-US"/>
        </w:rPr>
        <w:t>immune-mediated disease</w:t>
      </w:r>
      <w:r w:rsidR="00FC5480">
        <w:rPr>
          <w:color w:val="000000" w:themeColor="text1"/>
          <w:lang w:val="en-US"/>
        </w:rPr>
        <w:t>”</w:t>
      </w:r>
      <w:r w:rsidRPr="00817C85">
        <w:rPr>
          <w:color w:val="000000" w:themeColor="text1"/>
          <w:lang w:val="en-US"/>
        </w:rPr>
        <w:t>. The host immune response, when dysregulated or exaggerated in response to the microbial challenge, mediates progressive destruction of the periodontal apparatus rather than achieving microbial clearance</w:t>
      </w:r>
      <w:r w:rsidR="00C9193E">
        <w:rPr>
          <w:rStyle w:val="Rimandonotadichiusura"/>
          <w:color w:val="000000" w:themeColor="text1"/>
          <w:lang w:val="en-US"/>
        </w:rPr>
        <w:endnoteReference w:id="39"/>
      </w:r>
      <w:r w:rsidRPr="00817C85">
        <w:rPr>
          <w:color w:val="000000" w:themeColor="text1"/>
          <w:lang w:val="en-US"/>
        </w:rPr>
        <w:t>.</w:t>
      </w:r>
    </w:p>
    <w:p w14:paraId="44515A88" w14:textId="5E52F794" w:rsidR="00C9193E" w:rsidRPr="00C9193E" w:rsidRDefault="00C9193E" w:rsidP="00C9193E">
      <w:pPr>
        <w:autoSpaceDE w:val="0"/>
        <w:autoSpaceDN w:val="0"/>
        <w:adjustRightInd w:val="0"/>
        <w:spacing w:line="360" w:lineRule="auto"/>
        <w:jc w:val="both"/>
        <w:rPr>
          <w:lang w:val="en-US"/>
        </w:rPr>
      </w:pPr>
      <w:r w:rsidRPr="00C9193E">
        <w:rPr>
          <w:lang w:val="en-US"/>
        </w:rPr>
        <w:t>Bacterial plaque activates cell-mediated immunity, an event that produces a deleterious biological consequence, as lymphocyte activation determines the production and massive release of lymphokines</w:t>
      </w:r>
      <w:r>
        <w:rPr>
          <w:lang w:val="en-US"/>
        </w:rPr>
        <w:t>,</w:t>
      </w:r>
      <w:r w:rsidR="00C83710">
        <w:rPr>
          <w:lang w:val="en-US"/>
        </w:rPr>
        <w:t xml:space="preserve"> </w:t>
      </w:r>
      <w:r w:rsidRPr="00C9193E">
        <w:rPr>
          <w:lang w:val="en-US"/>
        </w:rPr>
        <w:t xml:space="preserve">including cytokines and interleukins such as </w:t>
      </w:r>
      <w:r w:rsidRPr="002C7E50">
        <w:rPr>
          <w:i/>
          <w:iCs/>
          <w:lang w:val="en-US"/>
        </w:rPr>
        <w:t>IL-1, IL-6, IL-8,</w:t>
      </w:r>
      <w:r w:rsidRPr="00C9193E">
        <w:rPr>
          <w:lang w:val="en-US"/>
        </w:rPr>
        <w:t xml:space="preserve"> </w:t>
      </w:r>
      <w:r w:rsidRPr="002C7E50">
        <w:rPr>
          <w:i/>
          <w:iCs/>
          <w:lang w:val="en-US"/>
        </w:rPr>
        <w:t>TNF-alpha, and PGE2</w:t>
      </w:r>
      <w:r w:rsidRPr="00C9193E">
        <w:rPr>
          <w:lang w:val="en-US"/>
        </w:rPr>
        <w:t xml:space="preserve"> released by the immune system</w:t>
      </w:r>
      <w:r>
        <w:rPr>
          <w:lang w:val="en-US"/>
        </w:rPr>
        <w:t xml:space="preserve"> </w:t>
      </w:r>
      <w:r w:rsidRPr="00C9193E">
        <w:rPr>
          <w:lang w:val="en-US"/>
        </w:rPr>
        <w:t xml:space="preserve">which subsequently activate </w:t>
      </w:r>
      <w:r w:rsidRPr="004938E8">
        <w:rPr>
          <w:color w:val="000000" w:themeColor="text1"/>
          <w:lang w:val="en-US"/>
        </w:rPr>
        <w:t>osteoclast</w:t>
      </w:r>
      <w:r w:rsidR="00A03659" w:rsidRPr="004938E8">
        <w:rPr>
          <w:color w:val="000000" w:themeColor="text1"/>
          <w:lang w:val="en-US"/>
        </w:rPr>
        <w:t>s and</w:t>
      </w:r>
      <w:r w:rsidRPr="004938E8">
        <w:rPr>
          <w:color w:val="000000" w:themeColor="text1"/>
          <w:lang w:val="en-US"/>
        </w:rPr>
        <w:t xml:space="preserve"> determin</w:t>
      </w:r>
      <w:r w:rsidR="00A03659" w:rsidRPr="004938E8">
        <w:rPr>
          <w:color w:val="000000" w:themeColor="text1"/>
          <w:lang w:val="en-US"/>
        </w:rPr>
        <w:t>e</w:t>
      </w:r>
      <w:r w:rsidRPr="004938E8">
        <w:rPr>
          <w:color w:val="000000" w:themeColor="text1"/>
          <w:lang w:val="en-US"/>
        </w:rPr>
        <w:t xml:space="preserve"> </w:t>
      </w:r>
      <w:r w:rsidRPr="00C9193E">
        <w:rPr>
          <w:lang w:val="en-US"/>
        </w:rPr>
        <w:t>osteolysis</w:t>
      </w:r>
      <w:r>
        <w:rPr>
          <w:rStyle w:val="Rimandonotadichiusura"/>
          <w:lang w:val="en-US"/>
        </w:rPr>
        <w:endnoteReference w:id="40"/>
      </w:r>
      <w:r w:rsidRPr="00C9193E">
        <w:rPr>
          <w:lang w:val="en-US"/>
        </w:rPr>
        <w:t>.</w:t>
      </w:r>
      <w:r w:rsidR="00F123C2">
        <w:rPr>
          <w:lang w:val="en-US"/>
        </w:rPr>
        <w:t xml:space="preserve"> </w:t>
      </w:r>
    </w:p>
    <w:p w14:paraId="000ADFC3" w14:textId="1FD07090" w:rsidR="00C9193E" w:rsidRPr="00C9193E" w:rsidRDefault="00C9193E" w:rsidP="00C9193E">
      <w:pPr>
        <w:autoSpaceDE w:val="0"/>
        <w:autoSpaceDN w:val="0"/>
        <w:adjustRightInd w:val="0"/>
        <w:spacing w:line="360" w:lineRule="auto"/>
        <w:jc w:val="both"/>
        <w:rPr>
          <w:lang w:val="en-US"/>
        </w:rPr>
      </w:pPr>
      <w:r w:rsidRPr="00C9193E">
        <w:rPr>
          <w:lang w:val="en-US"/>
        </w:rPr>
        <w:t>Conversely, in innate immunity, the immune system is activated in a non-specific manner and targets polymorphonuclear leukocytes (</w:t>
      </w:r>
      <w:r w:rsidRPr="00C9193E">
        <w:rPr>
          <w:i/>
          <w:iCs/>
          <w:lang w:val="en-US"/>
        </w:rPr>
        <w:t>PMN</w:t>
      </w:r>
      <w:r w:rsidRPr="00C9193E">
        <w:rPr>
          <w:lang w:val="en-US"/>
        </w:rPr>
        <w:t>), which function to phagocytose bacterial factors or bacteria themselves. However, during exocytosis</w:t>
      </w:r>
      <w:r>
        <w:rPr>
          <w:lang w:val="en-US"/>
        </w:rPr>
        <w:t xml:space="preserve">, </w:t>
      </w:r>
      <w:r w:rsidRPr="00C9193E">
        <w:rPr>
          <w:lang w:val="en-US"/>
        </w:rPr>
        <w:t>the final phase of phagocytosis</w:t>
      </w:r>
      <w:r>
        <w:rPr>
          <w:lang w:val="en-US"/>
        </w:rPr>
        <w:t xml:space="preserve">, </w:t>
      </w:r>
      <w:r w:rsidRPr="00C9193E">
        <w:rPr>
          <w:lang w:val="en-US"/>
        </w:rPr>
        <w:t xml:space="preserve">they release into the extracellular environment the remnants of their </w:t>
      </w:r>
      <w:r w:rsidRPr="00C9193E">
        <w:rPr>
          <w:lang w:val="en-US"/>
        </w:rPr>
        <w:lastRenderedPageBreak/>
        <w:t>ingested material, including active lysosomal enzymes that damage surrounding periodontal structures</w:t>
      </w:r>
      <w:r>
        <w:rPr>
          <w:rStyle w:val="Rimandonotadichiusura"/>
          <w:lang w:val="en-US"/>
        </w:rPr>
        <w:endnoteReference w:id="41"/>
      </w:r>
      <w:r>
        <w:rPr>
          <w:rStyle w:val="Rimandonotadichiusura"/>
          <w:lang w:val="en-US"/>
        </w:rPr>
        <w:endnoteReference w:id="42"/>
      </w:r>
      <w:r>
        <w:rPr>
          <w:lang w:val="en-US"/>
        </w:rPr>
        <w:t>.</w:t>
      </w:r>
    </w:p>
    <w:p w14:paraId="1FFA62BF" w14:textId="77777777" w:rsidR="00C9193E" w:rsidRDefault="00C9193E" w:rsidP="00E363D9">
      <w:pPr>
        <w:autoSpaceDE w:val="0"/>
        <w:autoSpaceDN w:val="0"/>
        <w:adjustRightInd w:val="0"/>
        <w:spacing w:line="360" w:lineRule="auto"/>
        <w:jc w:val="both"/>
        <w:rPr>
          <w:lang w:val="en-US"/>
        </w:rPr>
      </w:pPr>
      <w:r w:rsidRPr="00C9193E">
        <w:rPr>
          <w:lang w:val="en-US"/>
        </w:rPr>
        <w:t>Thus, the pathogenesis of periodontitis can be attributed to individual susceptibility determined by genetic background and lifestyle factors that permit bacteria to express their pathogenic potential. The disease develops through a complex interplay of environmental dysbiosis, inherited genetic risk factors, acquired epigenetic modifications, and lifestyle elements such as smoking and dietary habits</w:t>
      </w:r>
      <w:r w:rsidR="00E363D9" w:rsidRPr="009062C6">
        <w:rPr>
          <w:rStyle w:val="Rimandonotadichiusura"/>
        </w:rPr>
        <w:endnoteReference w:id="43"/>
      </w:r>
      <w:r w:rsidRPr="00C9193E">
        <w:rPr>
          <w:lang w:val="en-US"/>
        </w:rPr>
        <w:t>.</w:t>
      </w:r>
      <w:r w:rsidR="00E363D9" w:rsidRPr="00C9193E">
        <w:rPr>
          <w:lang w:val="en-US"/>
        </w:rPr>
        <w:t xml:space="preserve"> </w:t>
      </w:r>
    </w:p>
    <w:p w14:paraId="3D5DF971" w14:textId="20D2A688" w:rsidR="002C7E50" w:rsidRPr="002C7E50" w:rsidRDefault="002C7E50" w:rsidP="002C7E50">
      <w:pPr>
        <w:autoSpaceDE w:val="0"/>
        <w:autoSpaceDN w:val="0"/>
        <w:adjustRightInd w:val="0"/>
        <w:spacing w:line="360" w:lineRule="auto"/>
        <w:jc w:val="both"/>
        <w:rPr>
          <w:lang w:val="en-US"/>
        </w:rPr>
      </w:pPr>
      <w:r w:rsidRPr="002C7E50">
        <w:rPr>
          <w:lang w:val="en-US"/>
        </w:rPr>
        <w:t>In this regard, the host must be susceptible at both the local and systemic level; the local environment must permit bacterial virulence factors to be expressed and must contain bacterial species that augment infection or that are unable to inhibit the pathogenic activity of the periodonto</w:t>
      </w:r>
      <w:r w:rsidR="009C5CAC">
        <w:rPr>
          <w:lang w:val="en-US"/>
        </w:rPr>
        <w:t>-</w:t>
      </w:r>
      <w:r w:rsidRPr="002C7E50">
        <w:rPr>
          <w:lang w:val="en-US"/>
        </w:rPr>
        <w:t>pathogen; finally, the pathogen must be present in sufficient quantities to trigger disease progression and activate the immune system.</w:t>
      </w:r>
    </w:p>
    <w:p w14:paraId="59373DE3" w14:textId="47DB35B6" w:rsidR="002C7E50" w:rsidRPr="002C7E50" w:rsidRDefault="002C7E50" w:rsidP="002C7E50">
      <w:pPr>
        <w:autoSpaceDE w:val="0"/>
        <w:autoSpaceDN w:val="0"/>
        <w:adjustRightInd w:val="0"/>
        <w:spacing w:line="360" w:lineRule="auto"/>
        <w:jc w:val="both"/>
        <w:rPr>
          <w:lang w:val="en-US"/>
        </w:rPr>
      </w:pPr>
      <w:r w:rsidRPr="002C7E50">
        <w:rPr>
          <w:lang w:val="en-US"/>
        </w:rPr>
        <w:t>When Löe, Theilade, and Jensen demonstrated that plaque correlates with gingivitis, they also made an important observation regarding individual susceptibility, as evidenced by the variable time intervals in which periodontal disease manifested among the 10 dental students studied</w:t>
      </w:r>
      <w:r>
        <w:rPr>
          <w:rStyle w:val="Rimandonotadichiusura"/>
          <w:lang w:val="en-US"/>
        </w:rPr>
        <w:endnoteReference w:id="44"/>
      </w:r>
      <w:r w:rsidRPr="002C7E50">
        <w:rPr>
          <w:lang w:val="en-US"/>
        </w:rPr>
        <w:t>. These subjects, who abstained from oral hygiene measures for several days, developed experimental gingivitis at different time points, and when they subsequently resumed standard oral hygiene practices, periodontal health was restored within 7-10 days.</w:t>
      </w:r>
    </w:p>
    <w:p w14:paraId="5C8B656A" w14:textId="3FF5FAA4" w:rsidR="00FC5480" w:rsidRDefault="002C7E50" w:rsidP="00FC5480">
      <w:pPr>
        <w:autoSpaceDE w:val="0"/>
        <w:autoSpaceDN w:val="0"/>
        <w:adjustRightInd w:val="0"/>
        <w:spacing w:line="360" w:lineRule="auto"/>
        <w:jc w:val="both"/>
        <w:rPr>
          <w:lang w:val="en-US"/>
        </w:rPr>
      </w:pPr>
      <w:r w:rsidRPr="002C7E50">
        <w:rPr>
          <w:lang w:val="en-US"/>
        </w:rPr>
        <w:t>This individual susceptibility defines the population subset at high risk for developing periodontitis. Periodontitis develops in severe form in genetically predisposed individuals. Genetic factors are now recognized to account for approximately 50% of the variance in periodontitis risk in populations. Polymorphisms in genes encoding inflammatory mediators such as interleukins (</w:t>
      </w:r>
      <w:r w:rsidRPr="002C7E50">
        <w:rPr>
          <w:i/>
          <w:iCs/>
          <w:lang w:val="en-US"/>
        </w:rPr>
        <w:t>IL-1A, IL-1B, IL-6, IL-10</w:t>
      </w:r>
      <w:r w:rsidRPr="002C7E50">
        <w:rPr>
          <w:lang w:val="en-US"/>
        </w:rPr>
        <w:t>) and matrix metalloproteinases (</w:t>
      </w:r>
      <w:r w:rsidRPr="002C7E50">
        <w:rPr>
          <w:i/>
          <w:iCs/>
          <w:lang w:val="en-US"/>
        </w:rPr>
        <w:t>MMP-2, MMP-3, MMP-8, MMP-9</w:t>
      </w:r>
      <w:r w:rsidRPr="002C7E50">
        <w:rPr>
          <w:lang w:val="en-US"/>
        </w:rPr>
        <w:t>) are associated with increased susceptibility to periodontal disease</w:t>
      </w:r>
      <w:r w:rsidR="00E363D9">
        <w:rPr>
          <w:rStyle w:val="Rimandonotadichiusura"/>
        </w:rPr>
        <w:endnoteReference w:id="45"/>
      </w:r>
      <w:r w:rsidRPr="002C7E50">
        <w:rPr>
          <w:lang w:val="en-US"/>
        </w:rPr>
        <w:t>.</w:t>
      </w:r>
      <w:r w:rsidR="00E363D9" w:rsidRPr="002C7E50">
        <w:rPr>
          <w:lang w:val="en-US"/>
        </w:rPr>
        <w:t xml:space="preserve"> </w:t>
      </w:r>
      <w:r w:rsidRPr="002C7E50">
        <w:rPr>
          <w:lang w:val="en-US"/>
        </w:rPr>
        <w:t xml:space="preserve">It is believed that genetic susceptibility is due to variations in the subject's genes that lead to reduced efficiency of the immune system and an alteration of the inflammatory response balance, responsible for increased destructive effects of inflammation. Recent studies indicate that the polymorphism of the gene encoding interleukin-1 is associated with the severity of periodontitis. These polymorphisms are variations in the DNA sequence of genes encoding </w:t>
      </w:r>
      <w:r w:rsidRPr="002C7E50">
        <w:rPr>
          <w:i/>
          <w:iCs/>
          <w:lang w:val="en-US"/>
        </w:rPr>
        <w:t>IL-1 and IL-1 beta</w:t>
      </w:r>
      <w:r w:rsidRPr="002C7E50">
        <w:rPr>
          <w:lang w:val="en-US"/>
        </w:rPr>
        <w:t xml:space="preserve">. </w:t>
      </w:r>
      <w:r w:rsidRPr="002C7E50">
        <w:rPr>
          <w:lang w:val="en-US"/>
        </w:rPr>
        <w:lastRenderedPageBreak/>
        <w:t>Further research is nevertheless necessary to verify the genetic contribution responsible for the initiation and progression of periodontiti</w:t>
      </w:r>
      <w:r>
        <w:rPr>
          <w:lang w:val="en-US"/>
        </w:rPr>
        <w:t>s</w:t>
      </w:r>
      <w:r>
        <w:rPr>
          <w:rStyle w:val="Rimandonotadichiusura"/>
          <w:lang w:val="en-US"/>
        </w:rPr>
        <w:endnoteReference w:id="46"/>
      </w:r>
      <w:r>
        <w:rPr>
          <w:lang w:val="en-US"/>
        </w:rPr>
        <w:t>.</w:t>
      </w:r>
    </w:p>
    <w:p w14:paraId="22D919E9" w14:textId="77777777" w:rsidR="003212CB" w:rsidRDefault="003212CB" w:rsidP="00FC5480">
      <w:pPr>
        <w:autoSpaceDE w:val="0"/>
        <w:autoSpaceDN w:val="0"/>
        <w:adjustRightInd w:val="0"/>
        <w:spacing w:line="360" w:lineRule="auto"/>
        <w:jc w:val="both"/>
        <w:rPr>
          <w:lang w:val="en-US"/>
        </w:rPr>
      </w:pPr>
    </w:p>
    <w:p w14:paraId="1EF4F933" w14:textId="498D9B1A" w:rsidR="003212CB" w:rsidRDefault="003212CB" w:rsidP="00FC5480">
      <w:pPr>
        <w:autoSpaceDE w:val="0"/>
        <w:autoSpaceDN w:val="0"/>
        <w:adjustRightInd w:val="0"/>
        <w:spacing w:line="360" w:lineRule="auto"/>
        <w:jc w:val="both"/>
        <w:rPr>
          <w:lang w:val="en-US"/>
        </w:rPr>
      </w:pPr>
      <w:r>
        <w:rPr>
          <w:rFonts w:eastAsiaTheme="minorEastAsia"/>
          <w:noProof/>
          <w:sz w:val="28"/>
          <w:szCs w:val="28"/>
          <w:lang w:val="en-US"/>
        </w:rPr>
        <w:drawing>
          <wp:inline distT="0" distB="0" distL="0" distR="0" wp14:anchorId="58840B83" wp14:editId="284F282A">
            <wp:extent cx="5350374" cy="2773045"/>
            <wp:effectExtent l="0" t="0" r="0" b="0"/>
            <wp:docPr id="2116088617" name="Immagine 8" descr="Immagine che contiene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088617" name="Immagine 8" descr="Immagine che contiene testo, schermata&#10;&#10;Descrizione generata automaticamente"/>
                    <pic:cNvPicPr/>
                  </pic:nvPicPr>
                  <pic:blipFill rotWithShape="1">
                    <a:blip r:embed="rId11"/>
                    <a:srcRect l="-1" r="825" b="1586"/>
                    <a:stretch/>
                  </pic:blipFill>
                  <pic:spPr bwMode="auto">
                    <a:xfrm>
                      <a:off x="0" y="0"/>
                      <a:ext cx="5351113" cy="2773428"/>
                    </a:xfrm>
                    <a:prstGeom prst="rect">
                      <a:avLst/>
                    </a:prstGeom>
                    <a:ln>
                      <a:noFill/>
                    </a:ln>
                    <a:extLst>
                      <a:ext uri="{53640926-AAD7-44D8-BBD7-CCE9431645EC}">
                        <a14:shadowObscured xmlns:a14="http://schemas.microsoft.com/office/drawing/2010/main"/>
                      </a:ext>
                    </a:extLst>
                  </pic:spPr>
                </pic:pic>
              </a:graphicData>
            </a:graphic>
          </wp:inline>
        </w:drawing>
      </w:r>
    </w:p>
    <w:p w14:paraId="2815D998" w14:textId="77777777" w:rsidR="00F123C2" w:rsidRDefault="00F123C2" w:rsidP="00FC5480">
      <w:pPr>
        <w:autoSpaceDE w:val="0"/>
        <w:autoSpaceDN w:val="0"/>
        <w:adjustRightInd w:val="0"/>
        <w:spacing w:line="360" w:lineRule="auto"/>
        <w:jc w:val="both"/>
        <w:rPr>
          <w:lang w:val="en-US"/>
        </w:rPr>
      </w:pPr>
    </w:p>
    <w:p w14:paraId="07BC78F0" w14:textId="04F8F81C" w:rsidR="00F123C2" w:rsidRDefault="00F123C2" w:rsidP="00FC5480">
      <w:pPr>
        <w:autoSpaceDE w:val="0"/>
        <w:autoSpaceDN w:val="0"/>
        <w:adjustRightInd w:val="0"/>
        <w:spacing w:line="360" w:lineRule="auto"/>
        <w:jc w:val="both"/>
        <w:rPr>
          <w:sz w:val="18"/>
          <w:szCs w:val="18"/>
          <w:lang w:val="en-US"/>
        </w:rPr>
      </w:pPr>
      <w:r w:rsidRPr="00F123C2">
        <w:rPr>
          <w:b/>
          <w:bCs/>
          <w:sz w:val="20"/>
          <w:szCs w:val="20"/>
          <w:lang w:val="en-US"/>
        </w:rPr>
        <w:t>Figure 1.</w:t>
      </w:r>
      <w:r w:rsidRPr="00F123C2">
        <w:rPr>
          <w:sz w:val="18"/>
          <w:szCs w:val="18"/>
          <w:lang w:val="en-US"/>
        </w:rPr>
        <w:t xml:space="preserve"> Schematic representation of periodontal disease progression associated with biofilm dysbiosis and impaired immune regulation.</w:t>
      </w:r>
    </w:p>
    <w:p w14:paraId="3369C21D" w14:textId="77777777" w:rsidR="004D10FB" w:rsidRPr="002C7E50" w:rsidRDefault="004D10FB" w:rsidP="00FC5480">
      <w:pPr>
        <w:autoSpaceDE w:val="0"/>
        <w:autoSpaceDN w:val="0"/>
        <w:adjustRightInd w:val="0"/>
        <w:spacing w:line="360" w:lineRule="auto"/>
        <w:jc w:val="both"/>
        <w:rPr>
          <w:lang w:val="en-US"/>
        </w:rPr>
      </w:pPr>
    </w:p>
    <w:p w14:paraId="44CB74A5" w14:textId="41E4AEE6" w:rsidR="00E363D9" w:rsidRPr="00F97FD6" w:rsidRDefault="00E363D9" w:rsidP="00FC5480">
      <w:pPr>
        <w:pStyle w:val="Titolo2"/>
        <w:snapToGrid w:val="0"/>
        <w:spacing w:before="120" w:after="120" w:line="360" w:lineRule="auto"/>
        <w:rPr>
          <w:sz w:val="28"/>
          <w:szCs w:val="28"/>
          <w:lang w:val="en-US"/>
        </w:rPr>
      </w:pPr>
      <w:bookmarkStart w:id="6" w:name="_Toc219243270"/>
      <w:r w:rsidRPr="00F97FD6">
        <w:rPr>
          <w:sz w:val="28"/>
          <w:szCs w:val="28"/>
          <w:lang w:val="en-US"/>
        </w:rPr>
        <w:t>1.</w:t>
      </w:r>
      <w:r w:rsidR="00F2448E" w:rsidRPr="00F97FD6">
        <w:rPr>
          <w:sz w:val="28"/>
          <w:szCs w:val="28"/>
          <w:lang w:val="en-US"/>
        </w:rPr>
        <w:t>1</w:t>
      </w:r>
      <w:r w:rsidRPr="00F97FD6">
        <w:rPr>
          <w:sz w:val="28"/>
          <w:szCs w:val="28"/>
          <w:lang w:val="en-US"/>
        </w:rPr>
        <w:t xml:space="preserve">.2 </w:t>
      </w:r>
      <w:r w:rsidR="00E90FCB" w:rsidRPr="00F97FD6">
        <w:rPr>
          <w:sz w:val="28"/>
          <w:szCs w:val="28"/>
          <w:lang w:val="en-US"/>
        </w:rPr>
        <w:t>Risk factors</w:t>
      </w:r>
      <w:bookmarkEnd w:id="6"/>
    </w:p>
    <w:p w14:paraId="3C694F3E" w14:textId="086EE7F5" w:rsidR="001476B9" w:rsidRPr="001476B9" w:rsidRDefault="009653CA" w:rsidP="001476B9">
      <w:pPr>
        <w:pStyle w:val="NormaleWeb"/>
        <w:snapToGrid w:val="0"/>
        <w:spacing w:before="120" w:beforeAutospacing="0" w:after="0" w:afterAutospacing="0" w:line="360" w:lineRule="auto"/>
        <w:jc w:val="both"/>
        <w:rPr>
          <w:lang w:val="en-US"/>
        </w:rPr>
      </w:pPr>
      <w:r w:rsidRPr="009653CA">
        <w:rPr>
          <w:lang w:val="en-US"/>
        </w:rPr>
        <w:t>The phenotype, defined as the clinical manifestation of pathologies, is the result of environmental factors, genotype, and the interaction between genotype and environment. Environmental factors encompass nutrition, respiratory exposure, dietary intake, and lifestyle habits including alcohol consumption, smoking, and oral hygiene practices. The genotype encompasses the presence of genes and interactions among multiple genes. Gene-</w:t>
      </w:r>
      <w:r w:rsidR="00AC111D" w:rsidRPr="009653CA">
        <w:rPr>
          <w:lang w:val="en-US"/>
        </w:rPr>
        <w:t>environmental</w:t>
      </w:r>
      <w:r w:rsidRPr="009653CA">
        <w:rPr>
          <w:lang w:val="en-US"/>
        </w:rPr>
        <w:t xml:space="preserve"> interactions describe how the environment interacts with genotype. To achieve the final clinical outcome and disease manifestation, all three components must be present and verified</w:t>
      </w:r>
      <w:r>
        <w:rPr>
          <w:rStyle w:val="Rimandonotadichiusura"/>
          <w:lang w:val="en-US"/>
        </w:rPr>
        <w:endnoteReference w:id="47"/>
      </w:r>
      <w:r w:rsidRPr="009653CA">
        <w:rPr>
          <w:lang w:val="en-US"/>
        </w:rPr>
        <w:t xml:space="preserve">. </w:t>
      </w:r>
      <w:r w:rsidR="001476B9" w:rsidRPr="001476B9">
        <w:rPr>
          <w:lang w:val="en-US"/>
        </w:rPr>
        <w:t>Merely possessing a specific gene linked to disease predisposition is insufficient; rather, multiple genes must collaborate to produce the final phenotypic result. Furthermore, having solely a determined genetic profile is inadequate because interactions of these genes with environmental factors must be considered. Therefore, the underlying concept is expressed through epigenetics</w:t>
      </w:r>
      <w:r w:rsidR="001476B9">
        <w:rPr>
          <w:lang w:val="en-US"/>
        </w:rPr>
        <w:t>,</w:t>
      </w:r>
      <w:r>
        <w:rPr>
          <w:lang w:val="en-US"/>
        </w:rPr>
        <w:t xml:space="preserve"> </w:t>
      </w:r>
      <w:r w:rsidR="001476B9" w:rsidRPr="001476B9">
        <w:rPr>
          <w:lang w:val="en-US"/>
        </w:rPr>
        <w:t xml:space="preserve">the branch of genetics that addresses reversible heritable changes in the phenotype of a cell or organism </w:t>
      </w:r>
      <w:r w:rsidR="001476B9" w:rsidRPr="001476B9">
        <w:rPr>
          <w:lang w:val="en-US"/>
        </w:rPr>
        <w:lastRenderedPageBreak/>
        <w:t>without alterations in the DNA sequence itself</w:t>
      </w:r>
      <w:r>
        <w:rPr>
          <w:rStyle w:val="Rimandonotadichiusura"/>
          <w:lang w:val="en-US"/>
        </w:rPr>
        <w:endnoteReference w:id="48"/>
      </w:r>
      <w:r>
        <w:rPr>
          <w:rStyle w:val="Rimandonotadichiusura"/>
          <w:lang w:val="en-US"/>
        </w:rPr>
        <w:endnoteReference w:id="49"/>
      </w:r>
      <w:r w:rsidR="001476B9" w:rsidRPr="001476B9">
        <w:rPr>
          <w:lang w:val="en-US"/>
        </w:rPr>
        <w:t>.</w:t>
      </w:r>
      <w:r w:rsidR="001476B9">
        <w:rPr>
          <w:lang w:val="en-US"/>
        </w:rPr>
        <w:t xml:space="preserve"> </w:t>
      </w:r>
      <w:r w:rsidR="001476B9" w:rsidRPr="001476B9">
        <w:rPr>
          <w:lang w:val="en-US"/>
        </w:rPr>
        <w:t>Epigenetics operates on the principle that our parents bequeath to us not only DNA sequences but also the molecular structure of these sequences. DNA methylation and histone acetylation of proteins bound to DNA modify the molecular conformation, which can be either linear or compacted; when compacted, RNA cannot replicate that segment and consequently the gene cannot be expressed.</w:t>
      </w:r>
      <w:r w:rsidR="001476B9">
        <w:rPr>
          <w:lang w:val="en-US"/>
        </w:rPr>
        <w:t xml:space="preserve"> </w:t>
      </w:r>
      <w:r w:rsidR="001476B9" w:rsidRPr="001476B9">
        <w:rPr>
          <w:lang w:val="en-US"/>
        </w:rPr>
        <w:t xml:space="preserve">The key factor is that gene expression depends on proteins; if these proteins bind to specific genetic loci and inactivate them, those genes remain unexpressed. Therefore, possessing a correct or incorrect gene is less important than ensuring that the predisposing gene remains inactivated. Genes exhibit low penetrance and are influenced by environmental factors; this means that every individual, regardless of inherited genotype, can through daily lifestyle choices influence and modify what their parents inscribed in their genome—thus, </w:t>
      </w:r>
      <w:r w:rsidR="00687257">
        <w:rPr>
          <w:lang w:val="en-US"/>
        </w:rPr>
        <w:t>“</w:t>
      </w:r>
      <w:r w:rsidR="001476B9" w:rsidRPr="001476B9">
        <w:rPr>
          <w:lang w:val="en-US"/>
        </w:rPr>
        <w:t>we are not predetermined</w:t>
      </w:r>
      <w:r w:rsidR="00687257">
        <w:rPr>
          <w:lang w:val="en-US"/>
        </w:rPr>
        <w:t>”</w:t>
      </w:r>
      <w:r w:rsidR="001476B9" w:rsidRPr="001476B9">
        <w:rPr>
          <w:lang w:val="en-US"/>
        </w:rPr>
        <w:t xml:space="preserve"> to develop a specific pathology.</w:t>
      </w:r>
      <w:r w:rsidR="001476B9">
        <w:rPr>
          <w:lang w:val="en-US"/>
        </w:rPr>
        <w:t xml:space="preserve"> </w:t>
      </w:r>
      <w:proofErr w:type="gramStart"/>
      <w:r w:rsidR="001476B9" w:rsidRPr="001476B9">
        <w:rPr>
          <w:lang w:val="en-US"/>
        </w:rPr>
        <w:t>Each individual</w:t>
      </w:r>
      <w:proofErr w:type="gramEnd"/>
      <w:r w:rsidR="001476B9" w:rsidRPr="001476B9">
        <w:rPr>
          <w:lang w:val="en-US"/>
        </w:rPr>
        <w:t xml:space="preserve"> can control environmental factors to prevent expression and activate inactivating mechanisms for disease-predisposing genes. Consequently, modifiable lifestyle factors,</w:t>
      </w:r>
      <w:r w:rsidR="004938E8">
        <w:rPr>
          <w:lang w:val="en-US"/>
        </w:rPr>
        <w:t xml:space="preserve"> </w:t>
      </w:r>
      <w:r w:rsidR="001476B9" w:rsidRPr="001476B9">
        <w:rPr>
          <w:lang w:val="en-US"/>
        </w:rPr>
        <w:t>particularly smoking and home oral hygiene practices, prove essential for both prevention and prognosis of periodontal disease</w:t>
      </w:r>
      <w:r>
        <w:rPr>
          <w:rStyle w:val="Rimandonotadichiusura"/>
        </w:rPr>
        <w:endnoteReference w:id="50"/>
      </w:r>
      <w:r w:rsidR="004938E8">
        <w:rPr>
          <w:lang w:val="en-US"/>
        </w:rPr>
        <w:t>.</w:t>
      </w:r>
    </w:p>
    <w:p w14:paraId="4DACF07F" w14:textId="04FFF563" w:rsidR="009653CA" w:rsidRPr="00687257" w:rsidRDefault="009653CA" w:rsidP="009653CA">
      <w:pPr>
        <w:pStyle w:val="NormaleWeb"/>
        <w:snapToGrid w:val="0"/>
        <w:spacing w:before="120" w:beforeAutospacing="0" w:after="120" w:afterAutospacing="0" w:line="360" w:lineRule="auto"/>
        <w:jc w:val="both"/>
        <w:rPr>
          <w:lang w:val="en-US"/>
        </w:rPr>
      </w:pPr>
      <w:r w:rsidRPr="009653CA">
        <w:rPr>
          <w:lang w:val="en-US"/>
        </w:rPr>
        <w:t xml:space="preserve">Regarding modifiable risk factors, a distinction can be made between systemic and local risk factors. Among systemic factors are identified systemic diseases, smoking, stress, medications, socioeconomic status, environment, and nutrition; whereas the principal local risk factors are the reduction or alteration of salivary composition, mouth breathing, exogenous mechanical, chemical, and thermal stimuli, occlusal trauma, and </w:t>
      </w:r>
      <w:r w:rsidRPr="00687257">
        <w:rPr>
          <w:lang w:val="en-US"/>
        </w:rPr>
        <w:t>parafunctional habits</w:t>
      </w:r>
      <w:r w:rsidR="00CC3314" w:rsidRPr="00687257">
        <w:rPr>
          <w:rStyle w:val="Rimandonotadichiusura"/>
          <w:lang w:val="en-US"/>
        </w:rPr>
        <w:endnoteReference w:id="51"/>
      </w:r>
      <w:r w:rsidR="00CC3314" w:rsidRPr="00687257">
        <w:rPr>
          <w:lang w:val="en-US"/>
        </w:rPr>
        <w:t>.</w:t>
      </w:r>
    </w:p>
    <w:p w14:paraId="0D32108F" w14:textId="71FDAC32" w:rsidR="00961447" w:rsidRDefault="009653CA" w:rsidP="00FC5480">
      <w:pPr>
        <w:pStyle w:val="NormaleWeb"/>
        <w:snapToGrid w:val="0"/>
        <w:spacing w:before="120" w:beforeAutospacing="0" w:after="120" w:afterAutospacing="0" w:line="360" w:lineRule="auto"/>
        <w:jc w:val="both"/>
        <w:rPr>
          <w:lang w:val="en-US"/>
        </w:rPr>
      </w:pPr>
      <w:r w:rsidRPr="00687257">
        <w:rPr>
          <w:lang w:val="en-US"/>
        </w:rPr>
        <w:t xml:space="preserve">Tobacco smoking and stress are two systemic risk factors of </w:t>
      </w:r>
      <w:proofErr w:type="gramStart"/>
      <w:r w:rsidRPr="00687257">
        <w:rPr>
          <w:lang w:val="en-US"/>
        </w:rPr>
        <w:t>particular relevance</w:t>
      </w:r>
      <w:proofErr w:type="gramEnd"/>
      <w:r w:rsidRPr="00687257">
        <w:rPr>
          <w:lang w:val="en-US"/>
        </w:rPr>
        <w:t xml:space="preserve"> in industrialized societies. Smoking is one of the principal risk factors for periodontitis, as the pathological mechanism reported includes an alteration of the vascular tissue of the periodontium, direct effects on bacterial microflora, inhibitory effects on immunoglobulin levels and antibody response to bacterial plaque; alteration of fibroblast proliferation and adhesion, alteration of chemotaxis and phagocytosis, and abnormal release of proteases from neutrophil cells, which become involved in bone resorption</w:t>
      </w:r>
      <w:r w:rsidR="00CC3314" w:rsidRPr="00687257">
        <w:rPr>
          <w:rStyle w:val="Rimandonotadichiusura"/>
          <w:lang w:val="en-US"/>
        </w:rPr>
        <w:endnoteReference w:id="52"/>
      </w:r>
      <w:r w:rsidR="00842B17" w:rsidRPr="00687257">
        <w:rPr>
          <w:lang w:val="en-US"/>
        </w:rPr>
        <w:t xml:space="preserve">. </w:t>
      </w:r>
      <w:r w:rsidRPr="00687257">
        <w:rPr>
          <w:lang w:val="en-US"/>
        </w:rPr>
        <w:t xml:space="preserve">Not only does smoking increase the risk that disease develops, but the response to periodontal therapy is also altered in smokers. Smokers demonstrate increased subgingival bacterial diversity with pathogen-enriched communities characterized by </w:t>
      </w:r>
      <w:r w:rsidRPr="00687257">
        <w:rPr>
          <w:lang w:val="en-US"/>
        </w:rPr>
        <w:lastRenderedPageBreak/>
        <w:t>higher proportions of red- and orange-complex bacteria, as well as lower levels of key protective bacterial species. Additionally, smoking induces an imbalance in the immune response, characterized by elevated levels of pro-inflammatory cytokines including interleukin-8, interleukin-17, and abnormal neutrophil enzyme activity, which amplifies tissue destruction</w:t>
      </w:r>
      <w:r w:rsidR="00E363D9" w:rsidRPr="00687257">
        <w:rPr>
          <w:rStyle w:val="Rimandonotadichiusura"/>
        </w:rPr>
        <w:endnoteReference w:id="53"/>
      </w:r>
      <w:r w:rsidR="00CC3314" w:rsidRPr="00687257">
        <w:rPr>
          <w:rStyle w:val="Rimandonotadichiusura"/>
          <w:lang w:val="en-US"/>
        </w:rPr>
        <w:endnoteReference w:id="54"/>
      </w:r>
      <w:r w:rsidR="00CC3314" w:rsidRPr="00687257">
        <w:rPr>
          <w:lang w:val="en-US"/>
        </w:rPr>
        <w:t>. Furthermore, the signs and symptoms of the disease, such as gingival redness and bleeding, are masked by the attenuation of inflammation induced by smoking. Stress is also considered today an important risk factor, and some researchers have demonstrated that the alteration of the inflammatory response in periodontal disease is caused by psychological factors such as stress, anxiety, and depression</w:t>
      </w:r>
      <w:r w:rsidR="00E363D9" w:rsidRPr="00687257">
        <w:rPr>
          <w:rStyle w:val="Rimandonotadichiusura"/>
        </w:rPr>
        <w:endnoteReference w:id="55"/>
      </w:r>
      <w:r w:rsidR="002259BF" w:rsidRPr="00687257">
        <w:rPr>
          <w:lang w:val="en-US"/>
        </w:rPr>
        <w:t>.</w:t>
      </w:r>
      <w:r w:rsidR="00687257" w:rsidRPr="00687257">
        <w:rPr>
          <w:lang w:val="en-US"/>
        </w:rPr>
        <w:t xml:space="preserve"> </w:t>
      </w:r>
      <w:r w:rsidR="00CC3314" w:rsidRPr="00687257">
        <w:rPr>
          <w:lang w:val="en-US"/>
        </w:rPr>
        <w:t xml:space="preserve">The correlation between altered psychological states and the appearance of periodontitis is underscored by the fact that, in situations of hyperactivation of the adaptive system, high concentrations of adrenocorticotropic hormone </w:t>
      </w:r>
      <w:r w:rsidR="00CC3314" w:rsidRPr="00687257">
        <w:rPr>
          <w:i/>
          <w:iCs/>
          <w:lang w:val="en-US"/>
        </w:rPr>
        <w:t xml:space="preserve">(ACTH) </w:t>
      </w:r>
      <w:r w:rsidR="00CC3314" w:rsidRPr="00687257">
        <w:rPr>
          <w:lang w:val="en-US"/>
        </w:rPr>
        <w:t>are released from the hypothalamus, and glucocorticoids are released from the adrenal cortex. Particularly, the latter exhibit an important immunosuppressive role as they determine the reduction in the number of lymphocytes, monocytes, and eosinophils, and result in the inhibition of macrophage and neutrophil migration</w:t>
      </w:r>
      <w:r w:rsidR="00CC3314" w:rsidRPr="00687257">
        <w:rPr>
          <w:rStyle w:val="Rimandonotadichiusura"/>
          <w:lang w:val="en-US"/>
        </w:rPr>
        <w:endnoteReference w:id="56"/>
      </w:r>
      <w:r w:rsidR="00CC3314" w:rsidRPr="00687257">
        <w:rPr>
          <w:lang w:val="en-US"/>
        </w:rPr>
        <w:t xml:space="preserve"> Corticosteroids furthermore cause an alteration of the complex system of cytokine production, of </w:t>
      </w:r>
      <w:r w:rsidR="00CC3314" w:rsidRPr="00687257">
        <w:rPr>
          <w:i/>
          <w:iCs/>
          <w:lang w:val="en-US"/>
        </w:rPr>
        <w:t>IL-12</w:t>
      </w:r>
      <w:r w:rsidR="00CC3314" w:rsidRPr="00687257">
        <w:rPr>
          <w:lang w:val="en-US"/>
        </w:rPr>
        <w:t xml:space="preserve">, and modify the balance between </w:t>
      </w:r>
      <w:r w:rsidR="00CC3314" w:rsidRPr="00687257">
        <w:rPr>
          <w:i/>
          <w:iCs/>
          <w:lang w:val="en-US"/>
        </w:rPr>
        <w:t>IL-10 and TNF</w:t>
      </w:r>
      <w:r w:rsidR="00CC3314" w:rsidRPr="00687257">
        <w:rPr>
          <w:lang w:val="en-US"/>
        </w:rPr>
        <w:t>, and act on other inflammatory mechanisms including NK cell activity, phagocytosis, and cytotoxic activity of T cells</w:t>
      </w:r>
      <w:r w:rsidR="00E363D9" w:rsidRPr="00687257">
        <w:rPr>
          <w:rStyle w:val="Rimandonotadichiusura"/>
        </w:rPr>
        <w:endnoteReference w:id="57"/>
      </w:r>
      <w:r w:rsidR="002259BF" w:rsidRPr="00687257">
        <w:rPr>
          <w:lang w:val="en-US"/>
        </w:rPr>
        <w:t>.</w:t>
      </w:r>
      <w:r w:rsidR="00E363D9" w:rsidRPr="00687257">
        <w:rPr>
          <w:lang w:val="en-US"/>
        </w:rPr>
        <w:t xml:space="preserve"> </w:t>
      </w:r>
      <w:r w:rsidR="003A26DC" w:rsidRPr="00687257">
        <w:rPr>
          <w:lang w:val="en-US"/>
        </w:rPr>
        <w:t>Elevated salivary cortisol suppresses both innate and adaptive immune mechanisms through inhibition of secretory immunoglobulin production and impairment of neutrophil-mediated bactericidal activity, critical host defenses against periodontal pathogens</w:t>
      </w:r>
      <w:r w:rsidR="00BD33D9" w:rsidRPr="00687257">
        <w:rPr>
          <w:rStyle w:val="Rimandonotadichiusura"/>
          <w:lang w:val="en-US"/>
        </w:rPr>
        <w:endnoteReference w:id="58"/>
      </w:r>
      <w:r w:rsidR="003A26DC" w:rsidRPr="00687257">
        <w:rPr>
          <w:lang w:val="en-US"/>
        </w:rPr>
        <w:t>. This immunological compromise permits the establishment and persistence of dysbiotic bacterial biofilms characterized by enhanced expression of virulence-associated genes and epithelial tissue invasion capabilities</w:t>
      </w:r>
      <w:r w:rsidR="00990C9C" w:rsidRPr="00687257">
        <w:rPr>
          <w:vertAlign w:val="superscript"/>
          <w:lang w:val="en-US"/>
        </w:rPr>
        <w:t xml:space="preserve">10 </w:t>
      </w:r>
      <w:r w:rsidR="00BD33D9" w:rsidRPr="00687257">
        <w:rPr>
          <w:rStyle w:val="Rimandonotadichiusura"/>
          <w:lang w:val="en-US"/>
        </w:rPr>
        <w:endnoteReference w:id="59"/>
      </w:r>
      <w:r w:rsidR="003A26DC" w:rsidRPr="00687257">
        <w:rPr>
          <w:lang w:val="en-US"/>
        </w:rPr>
        <w:t>. The relationship between psychological stress and periodontal dysbiosis operates through</w:t>
      </w:r>
      <w:r w:rsidR="00687257">
        <w:rPr>
          <w:lang w:val="en-US"/>
        </w:rPr>
        <w:t xml:space="preserve"> </w:t>
      </w:r>
      <w:r w:rsidR="003A26DC" w:rsidRPr="00687257">
        <w:rPr>
          <w:lang w:val="en-US"/>
        </w:rPr>
        <w:t xml:space="preserve">bidirectional signaling: stress-induced elevation of cortisol simultaneously drives microbial community dysbiosis while suppressing host immune defenses, whereas the dysbiotic microbiota maintains chronic low-grade inflammatory states via continuous production of lipopolysaccharides </w:t>
      </w:r>
      <w:r w:rsidR="003A26DC" w:rsidRPr="00687257">
        <w:rPr>
          <w:i/>
          <w:iCs/>
          <w:lang w:val="en-US"/>
        </w:rPr>
        <w:t>(LPS)</w:t>
      </w:r>
      <w:r w:rsidR="003A26DC" w:rsidRPr="00687257">
        <w:rPr>
          <w:lang w:val="en-US"/>
        </w:rPr>
        <w:t xml:space="preserve"> and pathogen-associated molecular patterns </w:t>
      </w:r>
      <w:r w:rsidR="003A26DC" w:rsidRPr="00687257">
        <w:rPr>
          <w:i/>
          <w:iCs/>
          <w:lang w:val="en-US"/>
        </w:rPr>
        <w:t>(PAMPs</w:t>
      </w:r>
      <w:r w:rsidR="003A26DC" w:rsidRPr="00687257">
        <w:rPr>
          <w:lang w:val="en-US"/>
        </w:rPr>
        <w:t>)</w:t>
      </w:r>
      <w:r w:rsidR="00BD33D9" w:rsidRPr="00687257">
        <w:rPr>
          <w:rStyle w:val="Rimandonotadichiusura"/>
          <w:lang w:val="en-US"/>
        </w:rPr>
        <w:endnoteReference w:id="60"/>
      </w:r>
      <w:r w:rsidR="003A26DC" w:rsidRPr="00687257">
        <w:rPr>
          <w:lang w:val="en-US"/>
        </w:rPr>
        <w:t xml:space="preserve">. This self-perpetuating cycle activates pro-inflammatory macrophage populations </w:t>
      </w:r>
      <w:r w:rsidR="003A26DC" w:rsidRPr="00687257">
        <w:rPr>
          <w:i/>
          <w:iCs/>
          <w:lang w:val="en-US"/>
        </w:rPr>
        <w:t>(M1 phenotype),</w:t>
      </w:r>
      <w:r w:rsidR="003A26DC" w:rsidRPr="00687257">
        <w:rPr>
          <w:lang w:val="en-US"/>
        </w:rPr>
        <w:t xml:space="preserve"> upregulates matrix-degrading enzymes </w:t>
      </w:r>
      <w:r w:rsidR="003A26DC" w:rsidRPr="00687257">
        <w:rPr>
          <w:i/>
          <w:iCs/>
          <w:lang w:val="en-US"/>
        </w:rPr>
        <w:t>(MMP-8, MMP-9),</w:t>
      </w:r>
      <w:r w:rsidR="003A26DC" w:rsidRPr="00687257">
        <w:rPr>
          <w:lang w:val="en-US"/>
        </w:rPr>
        <w:t xml:space="preserve"> and increases </w:t>
      </w:r>
      <w:r w:rsidR="003A26DC" w:rsidRPr="00687257">
        <w:rPr>
          <w:i/>
          <w:iCs/>
          <w:lang w:val="en-US"/>
        </w:rPr>
        <w:t>RANKL</w:t>
      </w:r>
      <w:r w:rsidR="003A26DC" w:rsidRPr="00687257">
        <w:rPr>
          <w:lang w:val="en-US"/>
        </w:rPr>
        <w:t xml:space="preserve"> expression, all critical mediators of alveolar bone </w:t>
      </w:r>
      <w:r w:rsidR="003A26DC" w:rsidRPr="00687257">
        <w:rPr>
          <w:lang w:val="en-US"/>
        </w:rPr>
        <w:lastRenderedPageBreak/>
        <w:t>resorption</w:t>
      </w:r>
      <w:r w:rsidR="00BD33D9" w:rsidRPr="00687257">
        <w:rPr>
          <w:rStyle w:val="Rimandonotadichiusura"/>
          <w:lang w:val="en-US"/>
        </w:rPr>
        <w:endnoteReference w:id="61"/>
      </w:r>
      <w:r w:rsidR="003A26DC" w:rsidRPr="00687257">
        <w:rPr>
          <w:lang w:val="en-US"/>
        </w:rPr>
        <w:t>.</w:t>
      </w:r>
      <w:r w:rsidR="00E45C33" w:rsidRPr="00687257">
        <w:rPr>
          <w:lang w:val="en-US"/>
        </w:rPr>
        <w:t xml:space="preserve"> </w:t>
      </w:r>
      <w:r w:rsidR="003A26DC" w:rsidRPr="00687257">
        <w:rPr>
          <w:lang w:val="en-US"/>
        </w:rPr>
        <w:t xml:space="preserve">Furthermore, cortisol directly disrupts the osteoprotegerin </w:t>
      </w:r>
      <w:r w:rsidR="003A26DC" w:rsidRPr="00687257">
        <w:rPr>
          <w:i/>
          <w:iCs/>
          <w:lang w:val="en-US"/>
        </w:rPr>
        <w:t>(OPG)/RANKL</w:t>
      </w:r>
      <w:r w:rsidR="003A26DC" w:rsidRPr="00687257">
        <w:rPr>
          <w:lang w:val="en-US"/>
        </w:rPr>
        <w:t xml:space="preserve"> ratio within periodontal tissues, accelerating bone loss through suppression of osteoblastic differentiation and reduced local OPG production</w:t>
      </w:r>
      <w:r w:rsidR="003A26DC" w:rsidRPr="00687257">
        <w:rPr>
          <w:rStyle w:val="Rimandonotadichiusura"/>
          <w:lang w:val="en-US"/>
        </w:rPr>
        <w:endnoteReference w:id="62"/>
      </w:r>
      <w:r w:rsidR="003A26DC" w:rsidRPr="00687257">
        <w:rPr>
          <w:lang w:val="en-US"/>
        </w:rPr>
        <w:t xml:space="preserve">. </w:t>
      </w:r>
      <w:r w:rsidR="00CC3314" w:rsidRPr="00687257">
        <w:rPr>
          <w:lang w:val="en-US"/>
        </w:rPr>
        <w:t>Based on these scientific findings, it is essential for the dentist to elucidate to patients with specific risk factors the benefits derived from the discontinuation of such habits. The general health status of the individual is an aspect that contributes to the development of periodontal disease. Many systemic conditions are associated with or predispose to attachment loss. Severe periodontitis has been documented in patients affected by agranulocytosis, cyclic neutropenia, Chediak-Higashi syndrome, diabetes mellitus, Down syndrome, and Papillon-Lefèvre syndrome, which have neutrophil functional deficits as secondary effects and are therefore frequently associated with periodontitis</w:t>
      </w:r>
      <w:r w:rsidR="00CC3314" w:rsidRPr="00687257">
        <w:rPr>
          <w:rStyle w:val="Rimandonotadichiusura"/>
          <w:lang w:val="en-US"/>
        </w:rPr>
        <w:endnoteReference w:id="63"/>
      </w:r>
      <w:r w:rsidR="00CC3314" w:rsidRPr="00687257">
        <w:rPr>
          <w:rStyle w:val="Rimandonotadichiusura"/>
          <w:lang w:val="en-US"/>
        </w:rPr>
        <w:endnoteReference w:id="64"/>
      </w:r>
      <w:r w:rsidR="00CC3314" w:rsidRPr="00687257">
        <w:rPr>
          <w:lang w:val="en-US"/>
        </w:rPr>
        <w:t>. According to the American Academy of Periodontology in 1999, patients with HIV infection can develop necrotizing ulcerative periodontitis, in which destruction of the periodontium occurs with bleeding, tissue necrosis, and pain</w:t>
      </w:r>
      <w:r w:rsidR="00B42D3A" w:rsidRPr="00687257">
        <w:rPr>
          <w:rStyle w:val="Rimandonotadichiusura"/>
          <w:lang w:val="en-US"/>
        </w:rPr>
        <w:endnoteReference w:id="65"/>
      </w:r>
      <w:r w:rsidR="00CC3314" w:rsidRPr="00687257">
        <w:rPr>
          <w:lang w:val="en-US"/>
        </w:rPr>
        <w:t>. The picture that emerges is that of a disease of significant social relevance, characterized by an infection that causes a chronic inflammatory response</w:t>
      </w:r>
      <w:r w:rsidR="00CC3314" w:rsidRPr="00687257">
        <w:rPr>
          <w:rStyle w:val="Rimandonotadichiusura"/>
          <w:lang w:val="en-US"/>
        </w:rPr>
        <w:endnoteReference w:id="66"/>
      </w:r>
      <w:r w:rsidR="00CC3314" w:rsidRPr="00687257">
        <w:rPr>
          <w:lang w:val="en-US"/>
        </w:rPr>
        <w:t>.</w:t>
      </w:r>
    </w:p>
    <w:p w14:paraId="6EE2E1C4" w14:textId="77777777" w:rsidR="00687257" w:rsidRPr="00687257" w:rsidRDefault="00687257" w:rsidP="00FC5480">
      <w:pPr>
        <w:pStyle w:val="NormaleWeb"/>
        <w:snapToGrid w:val="0"/>
        <w:spacing w:before="120" w:beforeAutospacing="0" w:after="120" w:afterAutospacing="0" w:line="360" w:lineRule="auto"/>
        <w:jc w:val="both"/>
        <w:rPr>
          <w:lang w:val="en-US"/>
        </w:rPr>
      </w:pPr>
    </w:p>
    <w:p w14:paraId="0BFBB2A1" w14:textId="7234BB4D" w:rsidR="001747A0" w:rsidRPr="00E45C33" w:rsidRDefault="00961447" w:rsidP="003941F1">
      <w:pPr>
        <w:pStyle w:val="Titolo2"/>
        <w:spacing w:line="360" w:lineRule="auto"/>
        <w:rPr>
          <w:b w:val="0"/>
          <w:bCs/>
          <w:i/>
          <w:iCs/>
          <w:color w:val="auto"/>
          <w:sz w:val="28"/>
          <w:szCs w:val="28"/>
          <w:lang w:val="en-US"/>
        </w:rPr>
      </w:pPr>
      <w:bookmarkStart w:id="7" w:name="_Toc219243271"/>
      <w:r w:rsidRPr="00E45C33">
        <w:rPr>
          <w:bCs/>
          <w:color w:val="auto"/>
          <w:sz w:val="28"/>
          <w:szCs w:val="28"/>
          <w:lang w:val="en-US"/>
        </w:rPr>
        <w:t>1.1.</w:t>
      </w:r>
      <w:r w:rsidR="008124FE">
        <w:rPr>
          <w:bCs/>
          <w:color w:val="auto"/>
          <w:sz w:val="28"/>
          <w:szCs w:val="28"/>
          <w:lang w:val="en-US"/>
        </w:rPr>
        <w:t>3</w:t>
      </w:r>
      <w:r w:rsidRPr="00E45C33">
        <w:rPr>
          <w:bCs/>
          <w:color w:val="auto"/>
          <w:sz w:val="28"/>
          <w:szCs w:val="28"/>
          <w:lang w:val="en-US"/>
        </w:rPr>
        <w:t xml:space="preserve"> </w:t>
      </w:r>
      <w:r w:rsidR="00EB3803" w:rsidRPr="00E45C33">
        <w:rPr>
          <w:bCs/>
          <w:i/>
          <w:iCs/>
          <w:color w:val="auto"/>
          <w:sz w:val="28"/>
          <w:szCs w:val="28"/>
          <w:lang w:val="en-US"/>
        </w:rPr>
        <w:t>FUSOBACTERIUM NUCLEATUM</w:t>
      </w:r>
      <w:bookmarkEnd w:id="7"/>
    </w:p>
    <w:p w14:paraId="7F6FF79D" w14:textId="328B6C27" w:rsidR="003B4BCF" w:rsidRPr="00E45C33" w:rsidRDefault="003E7FFC" w:rsidP="003941F1">
      <w:pPr>
        <w:pStyle w:val="Titolo3"/>
        <w:spacing w:line="360" w:lineRule="auto"/>
        <w:rPr>
          <w:color w:val="auto"/>
          <w:sz w:val="28"/>
          <w:szCs w:val="28"/>
          <w:lang w:val="en-US"/>
        </w:rPr>
      </w:pPr>
      <w:bookmarkStart w:id="8" w:name="_Toc219243272"/>
      <w:r w:rsidRPr="004D10FB">
        <w:rPr>
          <w:i/>
          <w:iCs/>
          <w:color w:val="auto"/>
          <w:sz w:val="28"/>
          <w:szCs w:val="28"/>
          <w:lang w:val="en-US"/>
        </w:rPr>
        <w:t>1.1.</w:t>
      </w:r>
      <w:r w:rsidR="008124FE" w:rsidRPr="004D10FB">
        <w:rPr>
          <w:i/>
          <w:iCs/>
          <w:color w:val="auto"/>
          <w:sz w:val="28"/>
          <w:szCs w:val="28"/>
          <w:lang w:val="en-US"/>
        </w:rPr>
        <w:t>3</w:t>
      </w:r>
      <w:r w:rsidRPr="004D10FB">
        <w:rPr>
          <w:i/>
          <w:iCs/>
          <w:color w:val="auto"/>
          <w:sz w:val="28"/>
          <w:szCs w:val="28"/>
          <w:lang w:val="en-US"/>
        </w:rPr>
        <w:t>.1</w:t>
      </w:r>
      <w:r w:rsidRPr="00E45C33">
        <w:rPr>
          <w:color w:val="auto"/>
          <w:sz w:val="28"/>
          <w:szCs w:val="28"/>
          <w:lang w:val="en-US"/>
        </w:rPr>
        <w:t xml:space="preserve"> </w:t>
      </w:r>
      <w:r w:rsidR="00E90FCB" w:rsidRPr="008124FE">
        <w:rPr>
          <w:i/>
          <w:iCs/>
          <w:color w:val="auto"/>
          <w:sz w:val="28"/>
          <w:szCs w:val="28"/>
          <w:lang w:val="en-US"/>
        </w:rPr>
        <w:t>Overview and structural features</w:t>
      </w:r>
      <w:bookmarkEnd w:id="8"/>
    </w:p>
    <w:p w14:paraId="1671703E" w14:textId="14799109" w:rsidR="004D1612" w:rsidRPr="004D1612" w:rsidRDefault="004D1612" w:rsidP="003941F1">
      <w:pPr>
        <w:spacing w:line="360" w:lineRule="auto"/>
        <w:jc w:val="both"/>
        <w:rPr>
          <w:lang w:val="en-US"/>
        </w:rPr>
      </w:pPr>
      <w:r w:rsidRPr="00E45C33">
        <w:rPr>
          <w:i/>
          <w:iCs/>
          <w:lang w:val="en-US"/>
        </w:rPr>
        <w:t>Fusobacterium nucleatum</w:t>
      </w:r>
      <w:r w:rsidR="0090135E" w:rsidRPr="00E45C33">
        <w:rPr>
          <w:lang w:val="en-US"/>
        </w:rPr>
        <w:t xml:space="preserve"> </w:t>
      </w:r>
      <w:r w:rsidRPr="00E45C33">
        <w:rPr>
          <w:lang w:val="en-US"/>
        </w:rPr>
        <w:t xml:space="preserve">is a prevalent </w:t>
      </w:r>
      <w:r w:rsidRPr="004D1612">
        <w:rPr>
          <w:lang w:val="en-US"/>
        </w:rPr>
        <w:t>opportunistic bacterium in the oral cavity that can participate in a wide spectrum of local and systemic infections. Recent investigations have demonstrated that this species tends to accumulate within periodontal lesions, sites of halitosis, infected dental pulp, oral malignancies, and multiple extra</w:t>
      </w:r>
      <w:r w:rsidRPr="004D1612">
        <w:rPr>
          <w:lang w:val="en-US"/>
        </w:rPr>
        <w:noBreakHyphen/>
        <w:t>oral disease foci, including reproductive</w:t>
      </w:r>
      <w:r>
        <w:rPr>
          <w:rStyle w:val="Rimandonotadichiusura"/>
          <w:lang w:val="en-US"/>
        </w:rPr>
        <w:endnoteReference w:id="67"/>
      </w:r>
      <w:r w:rsidR="002259BF">
        <w:rPr>
          <w:lang w:val="en-US"/>
        </w:rPr>
        <w:t>.</w:t>
      </w:r>
    </w:p>
    <w:p w14:paraId="253CBF23" w14:textId="574EE873" w:rsidR="004D1612" w:rsidRDefault="009470CB" w:rsidP="004D1612">
      <w:pPr>
        <w:spacing w:line="360" w:lineRule="auto"/>
        <w:jc w:val="both"/>
        <w:rPr>
          <w:lang w:val="en-US"/>
        </w:rPr>
      </w:pPr>
      <w:r w:rsidRPr="009470CB">
        <w:rPr>
          <w:lang w:val="en-US"/>
        </w:rPr>
        <w:t>The genus</w:t>
      </w:r>
      <w:r w:rsidR="002259BF">
        <w:rPr>
          <w:lang w:val="en-US"/>
        </w:rPr>
        <w:t xml:space="preserve"> </w:t>
      </w:r>
      <w:r w:rsidRPr="009470CB">
        <w:rPr>
          <w:i/>
          <w:iCs/>
          <w:lang w:val="en-US"/>
        </w:rPr>
        <w:t>Fusobacterium</w:t>
      </w:r>
      <w:r w:rsidR="002259BF">
        <w:rPr>
          <w:lang w:val="en-US"/>
        </w:rPr>
        <w:t xml:space="preserve"> </w:t>
      </w:r>
      <w:r w:rsidRPr="009470CB">
        <w:rPr>
          <w:lang w:val="en-US"/>
        </w:rPr>
        <w:t>comprises Gram</w:t>
      </w:r>
      <w:r w:rsidRPr="009470CB">
        <w:rPr>
          <w:lang w:val="en-US"/>
        </w:rPr>
        <w:noBreakHyphen/>
        <w:t>negative, obligately anaerobic bacteria with a fusiform morphology and a marked ability to colonize mucosal surfaces of the oral cavity and other body sites.</w:t>
      </w:r>
      <w:r w:rsidR="002259BF">
        <w:rPr>
          <w:lang w:val="en-US"/>
        </w:rPr>
        <w:t xml:space="preserve"> </w:t>
      </w:r>
      <w:r w:rsidRPr="009470CB">
        <w:rPr>
          <w:i/>
          <w:iCs/>
          <w:lang w:val="en-US"/>
        </w:rPr>
        <w:t>Fusobacterium nucleatum</w:t>
      </w:r>
      <w:r w:rsidR="002259BF">
        <w:rPr>
          <w:lang w:val="en-US"/>
        </w:rPr>
        <w:t xml:space="preserve"> </w:t>
      </w:r>
      <w:r w:rsidRPr="009470CB">
        <w:rPr>
          <w:lang w:val="en-US"/>
        </w:rPr>
        <w:t>is the reference species of the genus and is frequently involved in periodontal and endodontic infections as well as in various extra</w:t>
      </w:r>
      <w:r w:rsidRPr="009470CB">
        <w:rPr>
          <w:lang w:val="en-US"/>
        </w:rPr>
        <w:noBreakHyphen/>
        <w:t>oral diseases</w:t>
      </w:r>
      <w:r w:rsidR="00E71269">
        <w:rPr>
          <w:rStyle w:val="Rimandonotadichiusura"/>
          <w:lang w:val="en-US"/>
        </w:rPr>
        <w:endnoteReference w:id="68"/>
      </w:r>
      <w:r w:rsidR="002259BF">
        <w:rPr>
          <w:lang w:val="en-US"/>
        </w:rPr>
        <w:t>.</w:t>
      </w:r>
      <w:r w:rsidR="00F123C2">
        <w:rPr>
          <w:lang w:val="en-US"/>
        </w:rPr>
        <w:t xml:space="preserve"> </w:t>
      </w:r>
      <w:r w:rsidR="00F123C2" w:rsidRPr="00F123C2">
        <w:rPr>
          <w:i/>
          <w:iCs/>
          <w:lang w:val="en-US"/>
        </w:rPr>
        <w:t>(Figure 2)</w:t>
      </w:r>
    </w:p>
    <w:p w14:paraId="3476309A" w14:textId="6A45B793" w:rsidR="00E71269" w:rsidRDefault="00E71269" w:rsidP="004D1612">
      <w:pPr>
        <w:spacing w:line="360" w:lineRule="auto"/>
        <w:jc w:val="both"/>
        <w:rPr>
          <w:lang w:val="en-US"/>
        </w:rPr>
      </w:pPr>
      <w:r w:rsidRPr="00E71269">
        <w:rPr>
          <w:lang w:val="en-US"/>
        </w:rPr>
        <w:t>From a morphological standpoint,</w:t>
      </w:r>
      <w:r w:rsidR="002259BF">
        <w:rPr>
          <w:lang w:val="en-US"/>
        </w:rPr>
        <w:t xml:space="preserve"> </w:t>
      </w:r>
      <w:r w:rsidRPr="00E71269">
        <w:rPr>
          <w:i/>
          <w:iCs/>
          <w:lang w:val="en-US"/>
        </w:rPr>
        <w:t>F. nucleatum</w:t>
      </w:r>
      <w:r w:rsidR="002259BF">
        <w:rPr>
          <w:lang w:val="en-US"/>
        </w:rPr>
        <w:t xml:space="preserve"> </w:t>
      </w:r>
      <w:r w:rsidRPr="00E71269">
        <w:rPr>
          <w:lang w:val="en-US"/>
        </w:rPr>
        <w:t>appears as a very thin, elongated bacillus with tapered ends, giving it a characteristic spindle</w:t>
      </w:r>
      <w:r w:rsidRPr="00E71269">
        <w:rPr>
          <w:lang w:val="en-US"/>
        </w:rPr>
        <w:noBreakHyphen/>
        <w:t xml:space="preserve">like shape, and it stains </w:t>
      </w:r>
      <w:r w:rsidRPr="00E71269">
        <w:rPr>
          <w:lang w:val="en-US"/>
        </w:rPr>
        <w:lastRenderedPageBreak/>
        <w:t>Gram</w:t>
      </w:r>
      <w:r w:rsidRPr="00E71269">
        <w:rPr>
          <w:lang w:val="en-US"/>
        </w:rPr>
        <w:noBreakHyphen/>
        <w:t>negative and non</w:t>
      </w:r>
      <w:r w:rsidRPr="00E71269">
        <w:rPr>
          <w:lang w:val="en-US"/>
        </w:rPr>
        <w:noBreakHyphen/>
        <w:t>spore</w:t>
      </w:r>
      <w:r w:rsidRPr="00E71269">
        <w:rPr>
          <w:lang w:val="en-US"/>
        </w:rPr>
        <w:noBreakHyphen/>
        <w:t>forming with the Gram stain. The cells can arrange in chains or in “head</w:t>
      </w:r>
      <w:r w:rsidRPr="00E71269">
        <w:rPr>
          <w:lang w:val="en-US"/>
        </w:rPr>
        <w:noBreakHyphen/>
        <w:t>to</w:t>
      </w:r>
      <w:r w:rsidRPr="00E71269">
        <w:rPr>
          <w:lang w:val="en-US"/>
        </w:rPr>
        <w:noBreakHyphen/>
        <w:t>tail” configurations, forming filaments that contribute to the structural organization of the oral biofilm</w:t>
      </w:r>
      <w:r>
        <w:rPr>
          <w:rStyle w:val="Rimandonotadichiusura"/>
          <w:lang w:val="en-US"/>
        </w:rPr>
        <w:endnoteReference w:id="69"/>
      </w:r>
      <w:r w:rsidR="002259BF">
        <w:rPr>
          <w:lang w:val="en-US"/>
        </w:rPr>
        <w:t>.</w:t>
      </w:r>
    </w:p>
    <w:p w14:paraId="7470637B" w14:textId="65DE75DC" w:rsidR="00AF2AD3" w:rsidRPr="007E157B" w:rsidRDefault="00E71269" w:rsidP="004D1612">
      <w:pPr>
        <w:spacing w:line="360" w:lineRule="auto"/>
        <w:jc w:val="both"/>
        <w:rPr>
          <w:vertAlign w:val="superscript"/>
          <w:lang w:val="en-US"/>
        </w:rPr>
      </w:pPr>
      <w:r w:rsidRPr="00E71269">
        <w:rPr>
          <w:lang w:val="en-US"/>
        </w:rPr>
        <w:t>Under transmission electron microscopy, the cell shows a typical Gram</w:t>
      </w:r>
      <w:r w:rsidRPr="00E71269">
        <w:rPr>
          <w:lang w:val="en-US"/>
        </w:rPr>
        <w:noBreakHyphen/>
        <w:t>negative envelope with an outer membrane rich in lipopolysaccharides, a thin peptidoglycan layer, and a defined periplasmic space surrounding the cytoplasmic membrane. In histological sections of infected tissues,</w:t>
      </w:r>
      <w:r w:rsidR="002259BF">
        <w:rPr>
          <w:lang w:val="en-US"/>
        </w:rPr>
        <w:t xml:space="preserve"> </w:t>
      </w:r>
      <w:r w:rsidRPr="00E71269">
        <w:rPr>
          <w:i/>
          <w:iCs/>
          <w:lang w:val="en-US"/>
        </w:rPr>
        <w:t>F. nucleatum</w:t>
      </w:r>
      <w:r w:rsidR="002259BF">
        <w:rPr>
          <w:lang w:val="en-US"/>
        </w:rPr>
        <w:t xml:space="preserve"> </w:t>
      </w:r>
      <w:r w:rsidRPr="00E71269">
        <w:rPr>
          <w:lang w:val="en-US"/>
        </w:rPr>
        <w:t>often appears as compact aggregates of fusiform bacilli that can assume a “nucleus</w:t>
      </w:r>
      <w:r w:rsidRPr="00E71269">
        <w:rPr>
          <w:lang w:val="en-US"/>
        </w:rPr>
        <w:noBreakHyphen/>
        <w:t>like” appearance, which inspired the epithet “</w:t>
      </w:r>
      <w:r w:rsidRPr="00E71269">
        <w:rPr>
          <w:i/>
          <w:iCs/>
          <w:lang w:val="en-US"/>
        </w:rPr>
        <w:t>nucleatu</w:t>
      </w:r>
      <w:r w:rsidR="002259BF">
        <w:rPr>
          <w:i/>
          <w:iCs/>
          <w:lang w:val="en-US"/>
        </w:rPr>
        <w:t>m”</w:t>
      </w:r>
      <w:r>
        <w:rPr>
          <w:rStyle w:val="Rimandonotadichiusura"/>
          <w:lang w:val="en-US"/>
        </w:rPr>
        <w:endnoteReference w:id="70"/>
      </w:r>
      <w:r w:rsidR="002259BF">
        <w:rPr>
          <w:lang w:val="en-US"/>
        </w:rPr>
        <w:t>.</w:t>
      </w:r>
      <w:r w:rsidR="00AF2AD3">
        <w:rPr>
          <w:lang w:val="en-US"/>
        </w:rPr>
        <w:t xml:space="preserve"> </w:t>
      </w:r>
      <w:r w:rsidR="00AF2AD3" w:rsidRPr="00AF2AD3">
        <w:rPr>
          <w:lang w:val="en-US"/>
        </w:rPr>
        <w:t>Members of the genus</w:t>
      </w:r>
      <w:r w:rsidR="002259BF">
        <w:rPr>
          <w:lang w:val="en-US"/>
        </w:rPr>
        <w:t xml:space="preserve"> </w:t>
      </w:r>
      <w:r w:rsidR="00AF2AD3" w:rsidRPr="00AF2AD3">
        <w:rPr>
          <w:i/>
          <w:iCs/>
          <w:lang w:val="en-US"/>
        </w:rPr>
        <w:t>Fusobacterium</w:t>
      </w:r>
      <w:r w:rsidR="002259BF">
        <w:rPr>
          <w:lang w:val="en-US"/>
        </w:rPr>
        <w:t xml:space="preserve"> </w:t>
      </w:r>
      <w:r w:rsidR="00AF2AD3" w:rsidRPr="00AF2AD3">
        <w:rPr>
          <w:lang w:val="en-US"/>
        </w:rPr>
        <w:t>are typically Gram</w:t>
      </w:r>
      <w:r w:rsidR="00AF2AD3" w:rsidRPr="00AF2AD3">
        <w:rPr>
          <w:lang w:val="en-US"/>
        </w:rPr>
        <w:noBreakHyphen/>
        <w:t>negative, slender, pointed bacilli that often appear in pairs aligned end</w:t>
      </w:r>
      <w:r w:rsidR="00AF2AD3" w:rsidRPr="00AF2AD3">
        <w:rPr>
          <w:lang w:val="en-US"/>
        </w:rPr>
        <w:noBreakHyphen/>
        <w:t>to</w:t>
      </w:r>
      <w:r w:rsidR="00AF2AD3" w:rsidRPr="00AF2AD3">
        <w:rPr>
          <w:lang w:val="en-US"/>
        </w:rPr>
        <w:noBreakHyphen/>
        <w:t>end. On blood agar they form very small, punctate colonies, and in some species, including</w:t>
      </w:r>
      <w:r w:rsidR="002259BF">
        <w:rPr>
          <w:lang w:val="en-US"/>
        </w:rPr>
        <w:t xml:space="preserve"> </w:t>
      </w:r>
      <w:r w:rsidR="00AF2AD3" w:rsidRPr="00AF2AD3">
        <w:rPr>
          <w:i/>
          <w:iCs/>
          <w:lang w:val="en-US"/>
        </w:rPr>
        <w:t>F. nucleatum</w:t>
      </w:r>
      <w:r w:rsidR="00AF2AD3" w:rsidRPr="00AF2AD3">
        <w:rPr>
          <w:lang w:val="en-US"/>
        </w:rPr>
        <w:t>, characteristic “fried</w:t>
      </w:r>
      <w:r w:rsidR="00AF2AD3" w:rsidRPr="00AF2AD3">
        <w:rPr>
          <w:lang w:val="en-US"/>
        </w:rPr>
        <w:noBreakHyphen/>
        <w:t>egg” colonies become evident after 3–5 days of incubation; certain strains can also display hemolytic activity. Overall,</w:t>
      </w:r>
      <w:r w:rsidR="002259BF">
        <w:rPr>
          <w:lang w:val="en-US"/>
        </w:rPr>
        <w:t xml:space="preserve"> </w:t>
      </w:r>
      <w:r w:rsidR="00AF2AD3" w:rsidRPr="00AF2AD3">
        <w:rPr>
          <w:i/>
          <w:iCs/>
          <w:lang w:val="en-US"/>
        </w:rPr>
        <w:t>Fusobacterium</w:t>
      </w:r>
      <w:r w:rsidR="002259BF">
        <w:rPr>
          <w:lang w:val="en-US"/>
        </w:rPr>
        <w:t xml:space="preserve"> </w:t>
      </w:r>
      <w:r w:rsidR="00AF2AD3" w:rsidRPr="00AF2AD3">
        <w:rPr>
          <w:lang w:val="en-US"/>
        </w:rPr>
        <w:t>spp. exhibit considerable variability in Gram</w:t>
      </w:r>
      <w:r w:rsidR="00AF2AD3" w:rsidRPr="00AF2AD3">
        <w:rPr>
          <w:lang w:val="en-US"/>
        </w:rPr>
        <w:noBreakHyphen/>
        <w:t>staining behavior and cell morphology, ranging from coccoid or pleomorphic forms to rod</w:t>
      </w:r>
      <w:r w:rsidR="00AF2AD3" w:rsidRPr="00AF2AD3">
        <w:rPr>
          <w:lang w:val="en-US"/>
        </w:rPr>
        <w:noBreakHyphen/>
        <w:t>shaped cells with rounded or tapered ends, frequently arranged in an end</w:t>
      </w:r>
      <w:r w:rsidR="00AF2AD3" w:rsidRPr="00AF2AD3">
        <w:rPr>
          <w:lang w:val="en-US"/>
        </w:rPr>
        <w:noBreakHyphen/>
        <w:t>to</w:t>
      </w:r>
      <w:r w:rsidR="00AF2AD3" w:rsidRPr="00AF2AD3">
        <w:rPr>
          <w:lang w:val="en-US"/>
        </w:rPr>
        <w:noBreakHyphen/>
        <w:t>end fashion</w:t>
      </w:r>
      <w:r w:rsidR="007E157B">
        <w:rPr>
          <w:vertAlign w:val="superscript"/>
          <w:lang w:val="en-US"/>
        </w:rPr>
        <w:t>69</w:t>
      </w:r>
      <w:r w:rsidR="007E157B">
        <w:rPr>
          <w:i/>
          <w:iCs/>
          <w:lang w:val="en-US"/>
        </w:rPr>
        <w:t xml:space="preserve">. </w:t>
      </w:r>
      <w:r w:rsidR="00AF2AD3" w:rsidRPr="00AF2AD3">
        <w:rPr>
          <w:i/>
          <w:iCs/>
          <w:lang w:val="en-US"/>
        </w:rPr>
        <w:t>Fusobacterium nucleatum</w:t>
      </w:r>
      <w:r w:rsidR="007E73A2">
        <w:rPr>
          <w:lang w:val="en-US"/>
        </w:rPr>
        <w:t xml:space="preserve"> </w:t>
      </w:r>
      <w:r w:rsidR="00AF2AD3" w:rsidRPr="00AF2AD3">
        <w:rPr>
          <w:lang w:val="en-US"/>
        </w:rPr>
        <w:t>grows best on enriched media, for example those supplemented with trypticase, peptone or yeast extract. It relies mainly on amino acids and short peptides as energy substrates, showing a marked preference for glutamate, histidine and aspartate, and generally favors peptides over free amino acids. During fermentation</w:t>
      </w:r>
      <w:r w:rsidR="002259BF">
        <w:rPr>
          <w:lang w:val="en-US"/>
        </w:rPr>
        <w:t xml:space="preserve">, </w:t>
      </w:r>
      <w:r w:rsidR="00AF2AD3" w:rsidRPr="00AF2AD3">
        <w:rPr>
          <w:i/>
          <w:iCs/>
          <w:lang w:val="en-US"/>
        </w:rPr>
        <w:t>F. nucleatum</w:t>
      </w:r>
      <w:r w:rsidR="002259BF">
        <w:rPr>
          <w:lang w:val="en-US"/>
        </w:rPr>
        <w:t xml:space="preserve"> </w:t>
      </w:r>
      <w:r w:rsidR="00AF2AD3" w:rsidRPr="00AF2AD3">
        <w:rPr>
          <w:lang w:val="en-US"/>
        </w:rPr>
        <w:t>catabolizes glutamate and lysine, generating end products such as acetate and butyrate that are central to its energy metabolism</w:t>
      </w:r>
      <w:r w:rsidR="007E157B">
        <w:rPr>
          <w:vertAlign w:val="superscript"/>
          <w:lang w:val="en-US"/>
        </w:rPr>
        <w:t>68</w:t>
      </w:r>
      <w:r w:rsidR="00AF2AD3" w:rsidRPr="00AF2AD3">
        <w:rPr>
          <w:lang w:val="en-US"/>
        </w:rPr>
        <w:t>.</w:t>
      </w:r>
    </w:p>
    <w:p w14:paraId="457A73A6" w14:textId="27BFF6FD" w:rsidR="00E71269" w:rsidRPr="00E71269" w:rsidRDefault="00E71269" w:rsidP="00E71269">
      <w:pPr>
        <w:spacing w:line="360" w:lineRule="auto"/>
        <w:jc w:val="both"/>
        <w:rPr>
          <w:lang w:val="en-US"/>
        </w:rPr>
      </w:pPr>
      <w:r w:rsidRPr="00E71269">
        <w:rPr>
          <w:lang w:val="en-US"/>
        </w:rPr>
        <w:t>Traditionally,</w:t>
      </w:r>
      <w:r w:rsidR="002259BF">
        <w:rPr>
          <w:lang w:val="en-US"/>
        </w:rPr>
        <w:t xml:space="preserve"> </w:t>
      </w:r>
      <w:r w:rsidRPr="00E71269">
        <w:rPr>
          <w:i/>
          <w:iCs/>
          <w:lang w:val="en-US"/>
        </w:rPr>
        <w:t>F. nucleatum</w:t>
      </w:r>
      <w:r w:rsidR="002259BF">
        <w:rPr>
          <w:lang w:val="en-US"/>
        </w:rPr>
        <w:t xml:space="preserve"> </w:t>
      </w:r>
      <w:r w:rsidRPr="00E71269">
        <w:rPr>
          <w:lang w:val="en-US"/>
        </w:rPr>
        <w:t xml:space="preserve">has been divided into five subspecies </w:t>
      </w:r>
      <w:r w:rsidR="00DE5BF5" w:rsidRPr="00E71269">
        <w:rPr>
          <w:lang w:val="en-US"/>
        </w:rPr>
        <w:t>based on</w:t>
      </w:r>
      <w:r w:rsidRPr="00E71269">
        <w:rPr>
          <w:lang w:val="en-US"/>
        </w:rPr>
        <w:t xml:space="preserve"> phenotypic characteristics (biochemical profiles, serotypes, colony morphology) and DNA–DNA hybridization patterns:</w:t>
      </w:r>
      <w:r w:rsidR="002259BF">
        <w:rPr>
          <w:lang w:val="en-US"/>
        </w:rPr>
        <w:t xml:space="preserve"> </w:t>
      </w:r>
      <w:r w:rsidRPr="00E71269">
        <w:rPr>
          <w:i/>
          <w:iCs/>
          <w:lang w:val="en-US"/>
        </w:rPr>
        <w:t>F.nucleatum</w:t>
      </w:r>
      <w:r w:rsidR="002259BF">
        <w:rPr>
          <w:lang w:val="en-US"/>
        </w:rPr>
        <w:t xml:space="preserve"> </w:t>
      </w:r>
      <w:r w:rsidRPr="00E71269">
        <w:rPr>
          <w:lang w:val="en-US"/>
        </w:rPr>
        <w:t>subsp.</w:t>
      </w:r>
      <w:r w:rsidR="002259BF">
        <w:rPr>
          <w:lang w:val="en-US"/>
        </w:rPr>
        <w:t xml:space="preserve"> </w:t>
      </w:r>
      <w:r w:rsidRPr="00E71269">
        <w:rPr>
          <w:i/>
          <w:iCs/>
          <w:lang w:val="en-US"/>
        </w:rPr>
        <w:t>nucleatum</w:t>
      </w:r>
      <w:r w:rsidRPr="00E71269">
        <w:rPr>
          <w:lang w:val="en-US"/>
        </w:rPr>
        <w:t>, subsp.</w:t>
      </w:r>
      <w:r w:rsidR="002259BF">
        <w:rPr>
          <w:lang w:val="en-US"/>
        </w:rPr>
        <w:t xml:space="preserve"> </w:t>
      </w:r>
      <w:r w:rsidRPr="00E71269">
        <w:rPr>
          <w:i/>
          <w:iCs/>
          <w:lang w:val="en-US"/>
        </w:rPr>
        <w:t>polymorphum</w:t>
      </w:r>
      <w:r w:rsidRPr="00E71269">
        <w:rPr>
          <w:lang w:val="en-US"/>
        </w:rPr>
        <w:t>, subsp.</w:t>
      </w:r>
      <w:r w:rsidR="002259BF">
        <w:rPr>
          <w:lang w:val="en-US"/>
        </w:rPr>
        <w:t xml:space="preserve"> </w:t>
      </w:r>
      <w:r w:rsidRPr="00E71269">
        <w:rPr>
          <w:i/>
          <w:iCs/>
          <w:lang w:val="en-US"/>
        </w:rPr>
        <w:t>fusiforme</w:t>
      </w:r>
      <w:r w:rsidRPr="00E71269">
        <w:rPr>
          <w:lang w:val="en-US"/>
        </w:rPr>
        <w:t>, subsp.</w:t>
      </w:r>
      <w:r w:rsidR="002259BF">
        <w:rPr>
          <w:lang w:val="en-US"/>
        </w:rPr>
        <w:t xml:space="preserve"> </w:t>
      </w:r>
      <w:r w:rsidRPr="00E71269">
        <w:rPr>
          <w:i/>
          <w:iCs/>
          <w:lang w:val="en-US"/>
        </w:rPr>
        <w:t>vincentii</w:t>
      </w:r>
      <w:r w:rsidRPr="00E71269">
        <w:rPr>
          <w:lang w:val="en-US"/>
        </w:rPr>
        <w:t>, and subsp.</w:t>
      </w:r>
      <w:r w:rsidR="002259BF">
        <w:rPr>
          <w:lang w:val="en-US"/>
        </w:rPr>
        <w:t xml:space="preserve"> </w:t>
      </w:r>
      <w:r w:rsidRPr="00E71269">
        <w:rPr>
          <w:i/>
          <w:iCs/>
          <w:lang w:val="en-US"/>
        </w:rPr>
        <w:t>animalis</w:t>
      </w:r>
      <w:r w:rsidR="00A37DAC">
        <w:rPr>
          <w:rStyle w:val="Rimandonotadichiusura"/>
          <w:lang w:val="en-US"/>
        </w:rPr>
        <w:endnoteReference w:id="71"/>
      </w:r>
      <w:r w:rsidR="0090135E">
        <w:rPr>
          <w:lang w:val="en-US"/>
        </w:rPr>
        <w:t xml:space="preserve">. </w:t>
      </w:r>
      <w:r w:rsidRPr="00E71269">
        <w:rPr>
          <w:lang w:val="en-US"/>
        </w:rPr>
        <w:t>The subsp.</w:t>
      </w:r>
      <w:r w:rsidR="002259BF">
        <w:rPr>
          <w:lang w:val="en-US"/>
        </w:rPr>
        <w:t xml:space="preserve"> </w:t>
      </w:r>
      <w:r w:rsidR="002259BF" w:rsidRPr="00E71269">
        <w:rPr>
          <w:i/>
          <w:iCs/>
          <w:lang w:val="en-US"/>
        </w:rPr>
        <w:t>N</w:t>
      </w:r>
      <w:r w:rsidRPr="00E71269">
        <w:rPr>
          <w:i/>
          <w:iCs/>
          <w:lang w:val="en-US"/>
        </w:rPr>
        <w:t>ucleatum</w:t>
      </w:r>
      <w:r w:rsidR="002259BF">
        <w:rPr>
          <w:lang w:val="en-US"/>
        </w:rPr>
        <w:t xml:space="preserve"> </w:t>
      </w:r>
      <w:r w:rsidRPr="00E71269">
        <w:rPr>
          <w:lang w:val="en-US"/>
        </w:rPr>
        <w:t>represents the “classic” oral group, frequently isolated from subgingival plaque and periodontal lesions;</w:t>
      </w:r>
      <w:r w:rsidR="002259BF">
        <w:rPr>
          <w:lang w:val="en-US"/>
        </w:rPr>
        <w:t xml:space="preserve"> </w:t>
      </w:r>
      <w:r w:rsidRPr="00E71269">
        <w:rPr>
          <w:i/>
          <w:iCs/>
          <w:lang w:val="en-US"/>
        </w:rPr>
        <w:t>polymorphum</w:t>
      </w:r>
      <w:r w:rsidR="002259BF">
        <w:rPr>
          <w:lang w:val="en-US"/>
        </w:rPr>
        <w:t xml:space="preserve"> </w:t>
      </w:r>
      <w:r w:rsidRPr="00E71269">
        <w:rPr>
          <w:lang w:val="en-US"/>
        </w:rPr>
        <w:t>is characterized by high phenotypic variability and more heterogeneous colonies;</w:t>
      </w:r>
      <w:r w:rsidR="002259BF">
        <w:rPr>
          <w:lang w:val="en-US"/>
        </w:rPr>
        <w:t xml:space="preserve"> </w:t>
      </w:r>
      <w:r w:rsidRPr="00E71269">
        <w:rPr>
          <w:i/>
          <w:iCs/>
          <w:lang w:val="en-US"/>
        </w:rPr>
        <w:t>fusiforme</w:t>
      </w:r>
      <w:r w:rsidR="002259BF">
        <w:rPr>
          <w:lang w:val="en-US"/>
        </w:rPr>
        <w:t xml:space="preserve"> </w:t>
      </w:r>
      <w:r w:rsidRPr="00E71269">
        <w:rPr>
          <w:lang w:val="en-US"/>
        </w:rPr>
        <w:t>and</w:t>
      </w:r>
      <w:r w:rsidR="002259BF">
        <w:rPr>
          <w:lang w:val="en-US"/>
        </w:rPr>
        <w:t xml:space="preserve"> </w:t>
      </w:r>
      <w:r w:rsidRPr="00E71269">
        <w:rPr>
          <w:i/>
          <w:iCs/>
          <w:lang w:val="en-US"/>
        </w:rPr>
        <w:t>vincentii</w:t>
      </w:r>
      <w:r w:rsidR="002259BF">
        <w:rPr>
          <w:lang w:val="en-US"/>
        </w:rPr>
        <w:t xml:space="preserve"> </w:t>
      </w:r>
      <w:r w:rsidRPr="00E71269">
        <w:rPr>
          <w:lang w:val="en-US"/>
        </w:rPr>
        <w:t>display distinct but closely related biochemical profiles;</w:t>
      </w:r>
      <w:r w:rsidR="002259BF">
        <w:rPr>
          <w:lang w:val="en-US"/>
        </w:rPr>
        <w:t xml:space="preserve"> </w:t>
      </w:r>
      <w:r w:rsidRPr="00E71269">
        <w:rPr>
          <w:i/>
          <w:iCs/>
          <w:lang w:val="en-US"/>
        </w:rPr>
        <w:t>animalis</w:t>
      </w:r>
      <w:r w:rsidR="002259BF">
        <w:rPr>
          <w:lang w:val="en-US"/>
        </w:rPr>
        <w:t xml:space="preserve"> </w:t>
      </w:r>
      <w:r w:rsidRPr="00E71269">
        <w:rPr>
          <w:lang w:val="en-US"/>
        </w:rPr>
        <w:t>is more often recovered from animal hosts, although it can also be found in humans</w:t>
      </w:r>
      <w:r w:rsidR="007E157B">
        <w:rPr>
          <w:vertAlign w:val="superscript"/>
          <w:lang w:val="en-US"/>
        </w:rPr>
        <w:t>68</w:t>
      </w:r>
      <w:r w:rsidRPr="00E71269">
        <w:rPr>
          <w:lang w:val="en-US"/>
        </w:rPr>
        <w:t>.</w:t>
      </w:r>
    </w:p>
    <w:p w14:paraId="4470AE44" w14:textId="6566A244" w:rsidR="002259BF" w:rsidRDefault="003B4BCF" w:rsidP="003B4BCF">
      <w:pPr>
        <w:spacing w:line="360" w:lineRule="auto"/>
        <w:jc w:val="both"/>
        <w:rPr>
          <w:lang w:val="en-US"/>
        </w:rPr>
      </w:pPr>
      <w:r w:rsidRPr="003B4BCF">
        <w:rPr>
          <w:lang w:val="en-US"/>
        </w:rPr>
        <w:lastRenderedPageBreak/>
        <w:t>Comparative genomic studies using metrics such as average nucleotide identity and digital DNA–DNA hybridization have suggested that the four main subspecies (</w:t>
      </w:r>
      <w:r w:rsidRPr="003B4BCF">
        <w:rPr>
          <w:i/>
          <w:iCs/>
          <w:lang w:val="en-US"/>
        </w:rPr>
        <w:t>nucleatum</w:t>
      </w:r>
      <w:r w:rsidRPr="003B4BCF">
        <w:rPr>
          <w:lang w:val="en-US"/>
        </w:rPr>
        <w:t>,</w:t>
      </w:r>
      <w:r w:rsidR="002259BF">
        <w:rPr>
          <w:lang w:val="en-US"/>
        </w:rPr>
        <w:t xml:space="preserve"> </w:t>
      </w:r>
      <w:r w:rsidRPr="003B4BCF">
        <w:rPr>
          <w:i/>
          <w:iCs/>
          <w:lang w:val="en-US"/>
        </w:rPr>
        <w:t>polymorphum</w:t>
      </w:r>
      <w:r w:rsidRPr="003B4BCF">
        <w:rPr>
          <w:lang w:val="en-US"/>
        </w:rPr>
        <w:t>,</w:t>
      </w:r>
      <w:r w:rsidR="002259BF">
        <w:rPr>
          <w:lang w:val="en-US"/>
        </w:rPr>
        <w:t xml:space="preserve"> </w:t>
      </w:r>
      <w:r w:rsidRPr="003B4BCF">
        <w:rPr>
          <w:i/>
          <w:iCs/>
          <w:lang w:val="en-US"/>
        </w:rPr>
        <w:t>vincentii</w:t>
      </w:r>
      <w:r w:rsidRPr="003B4BCF">
        <w:rPr>
          <w:lang w:val="en-US"/>
        </w:rPr>
        <w:t>,</w:t>
      </w:r>
      <w:r w:rsidR="002259BF">
        <w:rPr>
          <w:lang w:val="en-US"/>
        </w:rPr>
        <w:t xml:space="preserve"> </w:t>
      </w:r>
      <w:r w:rsidRPr="003B4BCF">
        <w:rPr>
          <w:i/>
          <w:iCs/>
          <w:lang w:val="en-US"/>
        </w:rPr>
        <w:t>animalis</w:t>
      </w:r>
      <w:r w:rsidR="00756B08">
        <w:rPr>
          <w:lang w:val="en-US"/>
        </w:rPr>
        <w:t xml:space="preserve">, </w:t>
      </w:r>
      <w:r w:rsidRPr="003B4BCF">
        <w:rPr>
          <w:lang w:val="en-US"/>
        </w:rPr>
        <w:t>often with</w:t>
      </w:r>
      <w:r w:rsidR="002259BF">
        <w:rPr>
          <w:lang w:val="en-US"/>
        </w:rPr>
        <w:t xml:space="preserve"> </w:t>
      </w:r>
      <w:r w:rsidRPr="003B4BCF">
        <w:rPr>
          <w:i/>
          <w:iCs/>
          <w:lang w:val="en-US"/>
        </w:rPr>
        <w:t>fusiforme</w:t>
      </w:r>
      <w:r w:rsidR="002259BF">
        <w:rPr>
          <w:lang w:val="en-US"/>
        </w:rPr>
        <w:t xml:space="preserve"> </w:t>
      </w:r>
      <w:r w:rsidRPr="003B4BCF">
        <w:rPr>
          <w:lang w:val="en-US"/>
        </w:rPr>
        <w:t>grouped with</w:t>
      </w:r>
      <w:r w:rsidR="002259BF">
        <w:rPr>
          <w:lang w:val="en-US"/>
        </w:rPr>
        <w:t xml:space="preserve"> </w:t>
      </w:r>
      <w:r w:rsidRPr="003B4BCF">
        <w:rPr>
          <w:i/>
          <w:iCs/>
          <w:lang w:val="en-US"/>
        </w:rPr>
        <w:t>vincentii</w:t>
      </w:r>
      <w:r w:rsidRPr="003B4BCF">
        <w:rPr>
          <w:lang w:val="en-US"/>
        </w:rPr>
        <w:t>) meet the thresholds to be regarded as separate species rather than mere subspecies</w:t>
      </w:r>
      <w:r>
        <w:rPr>
          <w:rStyle w:val="Rimandonotadichiusura"/>
          <w:lang w:val="en-US"/>
        </w:rPr>
        <w:endnoteReference w:id="72"/>
      </w:r>
      <w:r w:rsidR="002259BF">
        <w:rPr>
          <w:lang w:val="en-US"/>
        </w:rPr>
        <w:t>.</w:t>
      </w:r>
    </w:p>
    <w:p w14:paraId="0604FF05" w14:textId="4C25C50A" w:rsidR="003B4BCF" w:rsidRPr="003B4BCF" w:rsidRDefault="003B4BCF" w:rsidP="003B4BCF">
      <w:pPr>
        <w:spacing w:line="360" w:lineRule="auto"/>
        <w:jc w:val="both"/>
        <w:rPr>
          <w:lang w:val="en-US"/>
        </w:rPr>
      </w:pPr>
      <w:r w:rsidRPr="003B4BCF">
        <w:rPr>
          <w:lang w:val="en-US"/>
        </w:rPr>
        <w:t>A recent review summarized this taxonomic evolution and proposed the elevation of</w:t>
      </w:r>
      <w:r w:rsidR="002259BF">
        <w:rPr>
          <w:lang w:val="en-US"/>
        </w:rPr>
        <w:t xml:space="preserve"> </w:t>
      </w:r>
      <w:r w:rsidRPr="003B4BCF">
        <w:rPr>
          <w:i/>
          <w:iCs/>
          <w:lang w:val="en-US"/>
        </w:rPr>
        <w:t>F. animalis</w:t>
      </w:r>
      <w:r w:rsidRPr="003B4BCF">
        <w:rPr>
          <w:lang w:val="en-US"/>
        </w:rPr>
        <w:t>,</w:t>
      </w:r>
      <w:r w:rsidR="002259BF">
        <w:rPr>
          <w:lang w:val="en-US"/>
        </w:rPr>
        <w:t xml:space="preserve"> </w:t>
      </w:r>
      <w:r w:rsidRPr="003B4BCF">
        <w:rPr>
          <w:i/>
          <w:iCs/>
          <w:lang w:val="en-US"/>
        </w:rPr>
        <w:t>F. vincentii</w:t>
      </w:r>
      <w:r w:rsidR="002259BF">
        <w:rPr>
          <w:lang w:val="en-US"/>
        </w:rPr>
        <w:t xml:space="preserve"> </w:t>
      </w:r>
      <w:r w:rsidRPr="003B4BCF">
        <w:rPr>
          <w:lang w:val="en-US"/>
        </w:rPr>
        <w:t>(alongside</w:t>
      </w:r>
      <w:r w:rsidR="002259BF">
        <w:rPr>
          <w:lang w:val="en-US"/>
        </w:rPr>
        <w:t xml:space="preserve"> </w:t>
      </w:r>
      <w:r w:rsidRPr="003B4BCF">
        <w:rPr>
          <w:i/>
          <w:iCs/>
          <w:lang w:val="en-US"/>
        </w:rPr>
        <w:t>F. nucleatum</w:t>
      </w:r>
      <w:r w:rsidRPr="003B4BCF">
        <w:rPr>
          <w:lang w:val="en-US"/>
        </w:rPr>
        <w:t>), and</w:t>
      </w:r>
      <w:r w:rsidR="002259BF">
        <w:rPr>
          <w:lang w:val="en-US"/>
        </w:rPr>
        <w:t xml:space="preserve"> </w:t>
      </w:r>
      <w:r w:rsidRPr="003B4BCF">
        <w:rPr>
          <w:i/>
          <w:iCs/>
          <w:lang w:val="en-US"/>
        </w:rPr>
        <w:t>F. polymorphum</w:t>
      </w:r>
      <w:r w:rsidR="002259BF">
        <w:rPr>
          <w:lang w:val="en-US"/>
        </w:rPr>
        <w:t xml:space="preserve"> </w:t>
      </w:r>
      <w:r w:rsidRPr="003B4BCF">
        <w:rPr>
          <w:lang w:val="en-US"/>
        </w:rPr>
        <w:t>to full species status, while emphasizing that this framework has not yet been universally adopted in clinical practice</w:t>
      </w:r>
      <w:r>
        <w:rPr>
          <w:rStyle w:val="Rimandonotadichiusura"/>
          <w:lang w:val="en-US"/>
        </w:rPr>
        <w:endnoteReference w:id="73"/>
      </w:r>
      <w:r w:rsidR="002259BF">
        <w:rPr>
          <w:lang w:val="en-US"/>
        </w:rPr>
        <w:t>.</w:t>
      </w:r>
    </w:p>
    <w:p w14:paraId="05B37276" w14:textId="225C5995" w:rsidR="00E71269" w:rsidRDefault="00E71269" w:rsidP="00E71269">
      <w:pPr>
        <w:spacing w:line="360" w:lineRule="auto"/>
        <w:jc w:val="both"/>
        <w:rPr>
          <w:lang w:val="en-US"/>
        </w:rPr>
      </w:pPr>
      <w:r w:rsidRPr="00E71269">
        <w:rPr>
          <w:lang w:val="en-US"/>
        </w:rPr>
        <w:t>More recent phylogenetic analyses based on 16S rRNA,</w:t>
      </w:r>
      <w:r w:rsidR="002259BF">
        <w:rPr>
          <w:lang w:val="en-US"/>
        </w:rPr>
        <w:t xml:space="preserve"> </w:t>
      </w:r>
      <w:r w:rsidRPr="00E71269">
        <w:rPr>
          <w:i/>
          <w:iCs/>
          <w:lang w:val="en-US"/>
        </w:rPr>
        <w:t>rpoB</w:t>
      </w:r>
      <w:r w:rsidRPr="00E71269">
        <w:rPr>
          <w:lang w:val="en-US"/>
        </w:rPr>
        <w:t>, zinc</w:t>
      </w:r>
      <w:r w:rsidRPr="00E71269">
        <w:rPr>
          <w:lang w:val="en-US"/>
        </w:rPr>
        <w:noBreakHyphen/>
        <w:t>protease genes and multiple housekeeping genes have suggested merging</w:t>
      </w:r>
      <w:r w:rsidR="002259BF">
        <w:rPr>
          <w:lang w:val="en-US"/>
        </w:rPr>
        <w:t xml:space="preserve"> </w:t>
      </w:r>
      <w:r w:rsidRPr="00E71269">
        <w:rPr>
          <w:i/>
          <w:iCs/>
          <w:lang w:val="en-US"/>
        </w:rPr>
        <w:t>F. nucleatum</w:t>
      </w:r>
      <w:r w:rsidR="002259BF">
        <w:rPr>
          <w:lang w:val="en-US"/>
        </w:rPr>
        <w:t xml:space="preserve"> </w:t>
      </w:r>
      <w:r w:rsidRPr="00E71269">
        <w:rPr>
          <w:lang w:val="en-US"/>
        </w:rPr>
        <w:t>subsp.</w:t>
      </w:r>
      <w:r w:rsidR="002259BF">
        <w:rPr>
          <w:lang w:val="en-US"/>
        </w:rPr>
        <w:t xml:space="preserve"> </w:t>
      </w:r>
      <w:r w:rsidR="002259BF">
        <w:rPr>
          <w:i/>
          <w:iCs/>
          <w:lang w:val="en-US"/>
        </w:rPr>
        <w:t>f</w:t>
      </w:r>
      <w:r w:rsidRPr="00E71269">
        <w:rPr>
          <w:i/>
          <w:iCs/>
          <w:lang w:val="en-US"/>
        </w:rPr>
        <w:t>usiforme</w:t>
      </w:r>
      <w:r w:rsidR="002259BF">
        <w:rPr>
          <w:lang w:val="en-US"/>
        </w:rPr>
        <w:t xml:space="preserve"> </w:t>
      </w:r>
      <w:r w:rsidRPr="00E71269">
        <w:rPr>
          <w:lang w:val="en-US"/>
        </w:rPr>
        <w:t>and subsp.</w:t>
      </w:r>
      <w:r w:rsidR="002259BF">
        <w:rPr>
          <w:lang w:val="en-US"/>
        </w:rPr>
        <w:t xml:space="preserve"> </w:t>
      </w:r>
      <w:r w:rsidRPr="00E71269">
        <w:rPr>
          <w:i/>
          <w:iCs/>
          <w:lang w:val="en-US"/>
        </w:rPr>
        <w:t>vincentii</w:t>
      </w:r>
      <w:r w:rsidR="002259BF">
        <w:rPr>
          <w:lang w:val="en-US"/>
        </w:rPr>
        <w:t xml:space="preserve"> </w:t>
      </w:r>
      <w:r w:rsidRPr="00E71269">
        <w:rPr>
          <w:lang w:val="en-US"/>
        </w:rPr>
        <w:t>into a single subspecies,</w:t>
      </w:r>
      <w:r w:rsidR="002259BF">
        <w:rPr>
          <w:lang w:val="en-US"/>
        </w:rPr>
        <w:t xml:space="preserve"> </w:t>
      </w:r>
      <w:r w:rsidRPr="00E71269">
        <w:rPr>
          <w:i/>
          <w:iCs/>
          <w:lang w:val="en-US"/>
        </w:rPr>
        <w:t>fusiforme/vincentii</w:t>
      </w:r>
      <w:r w:rsidRPr="00E71269">
        <w:rPr>
          <w:lang w:val="en-US"/>
        </w:rPr>
        <w:t>, because of their tight genetic relatedness</w:t>
      </w:r>
      <w:r w:rsidR="003B4BCF">
        <w:rPr>
          <w:rStyle w:val="Rimandonotadichiusura"/>
          <w:lang w:val="en-US"/>
        </w:rPr>
        <w:endnoteReference w:id="74"/>
      </w:r>
      <w:r w:rsidR="002259BF">
        <w:rPr>
          <w:lang w:val="en-US"/>
        </w:rPr>
        <w:t>.</w:t>
      </w:r>
      <w:r w:rsidRPr="00E71269">
        <w:rPr>
          <w:lang w:val="en-US"/>
        </w:rPr>
        <w:t xml:space="preserve"> On the same phylogenetic basis, some authors have proposed reclassifying the traditional subspecies into four distinct</w:t>
      </w:r>
      <w:r w:rsidR="002259BF">
        <w:rPr>
          <w:lang w:val="en-US"/>
        </w:rPr>
        <w:t xml:space="preserve"> </w:t>
      </w:r>
      <w:r w:rsidRPr="00E71269">
        <w:rPr>
          <w:i/>
          <w:iCs/>
          <w:lang w:val="en-US"/>
        </w:rPr>
        <w:t>Fusobacterium</w:t>
      </w:r>
      <w:r w:rsidR="002259BF">
        <w:rPr>
          <w:lang w:val="en-US"/>
        </w:rPr>
        <w:t xml:space="preserve"> </w:t>
      </w:r>
      <w:r w:rsidRPr="00E71269">
        <w:rPr>
          <w:lang w:val="en-US"/>
        </w:rPr>
        <w:t>species; however, this revised taxonomy has not yet gained universal acceptance, and in clinical and laboratory practice the classical subspecies division is still widely used</w:t>
      </w:r>
      <w:r w:rsidR="007E157B">
        <w:rPr>
          <w:vertAlign w:val="superscript"/>
          <w:lang w:val="en-US"/>
        </w:rPr>
        <w:t>74</w:t>
      </w:r>
      <w:r w:rsidRPr="00E71269">
        <w:rPr>
          <w:lang w:val="en-US"/>
        </w:rPr>
        <w:t>.</w:t>
      </w:r>
    </w:p>
    <w:p w14:paraId="6696C55E" w14:textId="040B7A4C" w:rsidR="0042772B" w:rsidRDefault="0042772B" w:rsidP="00E71269">
      <w:pPr>
        <w:spacing w:line="360" w:lineRule="auto"/>
        <w:jc w:val="both"/>
        <w:rPr>
          <w:lang w:val="en-US"/>
        </w:rPr>
      </w:pPr>
      <w:r>
        <w:rPr>
          <w:noProof/>
          <w:sz w:val="28"/>
          <w:szCs w:val="28"/>
          <w:lang w:val="en-US"/>
        </w:rPr>
        <w:drawing>
          <wp:inline distT="0" distB="0" distL="0" distR="0" wp14:anchorId="475F7945" wp14:editId="294B3DBC">
            <wp:extent cx="5395595" cy="2900680"/>
            <wp:effectExtent l="0" t="0" r="1905" b="0"/>
            <wp:docPr id="516308099" name="Immagine 9" descr="Immagine che contiene Arte bambini, calligrafia, ros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08099" name="Immagine 9" descr="Immagine che contiene Arte bambini, calligrafia, rosa&#10;&#10;Descrizione generata automaticamente"/>
                    <pic:cNvPicPr/>
                  </pic:nvPicPr>
                  <pic:blipFill rotWithShape="1">
                    <a:blip r:embed="rId12"/>
                    <a:srcRect b="2671"/>
                    <a:stretch/>
                  </pic:blipFill>
                  <pic:spPr bwMode="auto">
                    <a:xfrm>
                      <a:off x="0" y="0"/>
                      <a:ext cx="5395595" cy="2900680"/>
                    </a:xfrm>
                    <a:prstGeom prst="rect">
                      <a:avLst/>
                    </a:prstGeom>
                    <a:ln>
                      <a:noFill/>
                    </a:ln>
                    <a:extLst>
                      <a:ext uri="{53640926-AAD7-44D8-BBD7-CCE9431645EC}">
                        <a14:shadowObscured xmlns:a14="http://schemas.microsoft.com/office/drawing/2010/main"/>
                      </a:ext>
                    </a:extLst>
                  </pic:spPr>
                </pic:pic>
              </a:graphicData>
            </a:graphic>
          </wp:inline>
        </w:drawing>
      </w:r>
    </w:p>
    <w:p w14:paraId="06A1A162" w14:textId="2EB0F414" w:rsidR="00F123C2" w:rsidRDefault="00F123C2" w:rsidP="00F123C2">
      <w:pPr>
        <w:rPr>
          <w:sz w:val="18"/>
          <w:szCs w:val="18"/>
          <w:lang w:val="en-US"/>
        </w:rPr>
      </w:pPr>
      <w:r w:rsidRPr="00F123C2">
        <w:rPr>
          <w:b/>
          <w:bCs/>
          <w:sz w:val="18"/>
          <w:szCs w:val="18"/>
          <w:lang w:val="en-US"/>
        </w:rPr>
        <w:t>Figure</w:t>
      </w:r>
      <w:r>
        <w:rPr>
          <w:b/>
          <w:bCs/>
          <w:sz w:val="18"/>
          <w:szCs w:val="18"/>
          <w:lang w:val="en-US"/>
        </w:rPr>
        <w:t xml:space="preserve"> 2.</w:t>
      </w:r>
      <w:r w:rsidRPr="00F123C2">
        <w:rPr>
          <w:b/>
          <w:bCs/>
          <w:sz w:val="18"/>
          <w:szCs w:val="18"/>
          <w:lang w:val="en-US"/>
        </w:rPr>
        <w:t xml:space="preserve"> Microscopic appearance of </w:t>
      </w:r>
      <w:r w:rsidRPr="00F123C2">
        <w:rPr>
          <w:b/>
          <w:bCs/>
          <w:i/>
          <w:iCs/>
          <w:sz w:val="18"/>
          <w:szCs w:val="18"/>
          <w:lang w:val="en-US"/>
        </w:rPr>
        <w:t>Fusobacterium nucleatum</w:t>
      </w:r>
      <w:r w:rsidRPr="00F123C2">
        <w:rPr>
          <w:b/>
          <w:bCs/>
          <w:sz w:val="18"/>
          <w:szCs w:val="18"/>
          <w:lang w:val="en-US"/>
        </w:rPr>
        <w:t>.</w:t>
      </w:r>
      <w:r w:rsidRPr="00F123C2">
        <w:rPr>
          <w:sz w:val="18"/>
          <w:szCs w:val="18"/>
          <w:lang w:val="en-US"/>
        </w:rPr>
        <w:br/>
        <w:t xml:space="preserve">Representative image showing the characteristic spindle-shaped (fusiform) morphology of </w:t>
      </w:r>
      <w:r w:rsidRPr="00F123C2">
        <w:rPr>
          <w:i/>
          <w:iCs/>
          <w:sz w:val="18"/>
          <w:szCs w:val="18"/>
          <w:lang w:val="en-US"/>
        </w:rPr>
        <w:t>Fusobacterium nucleatum</w:t>
      </w:r>
      <w:r w:rsidRPr="00F123C2">
        <w:rPr>
          <w:sz w:val="18"/>
          <w:szCs w:val="18"/>
          <w:lang w:val="en-US"/>
        </w:rPr>
        <w:t>, a Gram-negative anaerobic bacterium involved in periodontal biofilm formation and inflammation.</w:t>
      </w:r>
    </w:p>
    <w:p w14:paraId="4A65AB7B" w14:textId="77777777" w:rsidR="00F123C2" w:rsidRDefault="00F123C2" w:rsidP="00F123C2">
      <w:pPr>
        <w:spacing w:line="360" w:lineRule="auto"/>
        <w:rPr>
          <w:sz w:val="18"/>
          <w:szCs w:val="18"/>
          <w:lang w:val="en-US"/>
        </w:rPr>
      </w:pPr>
    </w:p>
    <w:p w14:paraId="7CF890F2" w14:textId="77777777" w:rsidR="00B15643" w:rsidRDefault="00B15643" w:rsidP="00F123C2">
      <w:pPr>
        <w:spacing w:line="360" w:lineRule="auto"/>
        <w:rPr>
          <w:sz w:val="18"/>
          <w:szCs w:val="18"/>
          <w:lang w:val="en-US"/>
        </w:rPr>
      </w:pPr>
    </w:p>
    <w:p w14:paraId="5B6E984B" w14:textId="77777777" w:rsidR="00B15643" w:rsidRDefault="00B15643" w:rsidP="00F123C2">
      <w:pPr>
        <w:spacing w:line="360" w:lineRule="auto"/>
        <w:rPr>
          <w:sz w:val="18"/>
          <w:szCs w:val="18"/>
          <w:lang w:val="en-US"/>
        </w:rPr>
      </w:pPr>
    </w:p>
    <w:p w14:paraId="40C0C1E2" w14:textId="77777777" w:rsidR="00B15643" w:rsidRDefault="00B15643" w:rsidP="00F123C2">
      <w:pPr>
        <w:spacing w:line="360" w:lineRule="auto"/>
        <w:rPr>
          <w:sz w:val="18"/>
          <w:szCs w:val="18"/>
          <w:lang w:val="en-US"/>
        </w:rPr>
      </w:pPr>
    </w:p>
    <w:p w14:paraId="2623FA4E" w14:textId="77777777" w:rsidR="00B15643" w:rsidRDefault="00B15643" w:rsidP="00F123C2">
      <w:pPr>
        <w:spacing w:line="360" w:lineRule="auto"/>
        <w:rPr>
          <w:sz w:val="18"/>
          <w:szCs w:val="18"/>
          <w:lang w:val="en-US"/>
        </w:rPr>
      </w:pPr>
    </w:p>
    <w:p w14:paraId="753CA9B1" w14:textId="77777777" w:rsidR="00B15643" w:rsidRPr="00F123C2" w:rsidRDefault="00B15643" w:rsidP="00F123C2">
      <w:pPr>
        <w:spacing w:line="360" w:lineRule="auto"/>
        <w:rPr>
          <w:sz w:val="18"/>
          <w:szCs w:val="18"/>
          <w:lang w:val="en-US"/>
        </w:rPr>
      </w:pPr>
    </w:p>
    <w:p w14:paraId="39F70277" w14:textId="673E6E01" w:rsidR="00543EDA" w:rsidRPr="00FC5480" w:rsidRDefault="00543EDA" w:rsidP="00BF2DE0">
      <w:pPr>
        <w:pStyle w:val="Titolo3"/>
        <w:spacing w:line="360" w:lineRule="auto"/>
        <w:rPr>
          <w:i/>
          <w:iCs/>
          <w:sz w:val="28"/>
          <w:szCs w:val="28"/>
          <w:lang w:val="en-US"/>
        </w:rPr>
      </w:pPr>
      <w:bookmarkStart w:id="9" w:name="_Toc219243273"/>
      <w:r w:rsidRPr="00FC5480">
        <w:rPr>
          <w:i/>
          <w:iCs/>
          <w:sz w:val="28"/>
          <w:szCs w:val="28"/>
          <w:lang w:val="en-US"/>
        </w:rPr>
        <w:t>1.1.</w:t>
      </w:r>
      <w:r w:rsidR="008124FE">
        <w:rPr>
          <w:i/>
          <w:iCs/>
          <w:sz w:val="28"/>
          <w:szCs w:val="28"/>
          <w:lang w:val="en-US"/>
        </w:rPr>
        <w:t>3</w:t>
      </w:r>
      <w:r w:rsidRPr="00FC5480">
        <w:rPr>
          <w:i/>
          <w:iCs/>
          <w:sz w:val="28"/>
          <w:szCs w:val="28"/>
          <w:lang w:val="en-US"/>
        </w:rPr>
        <w:t>.2 Major Virulence Determinants</w:t>
      </w:r>
      <w:bookmarkEnd w:id="9"/>
    </w:p>
    <w:p w14:paraId="25A03195" w14:textId="31D64A92" w:rsidR="007E73A2" w:rsidRPr="007E73A2" w:rsidRDefault="00543EDA" w:rsidP="00BF2DE0">
      <w:pPr>
        <w:spacing w:line="360" w:lineRule="auto"/>
        <w:jc w:val="both"/>
        <w:rPr>
          <w:lang w:val="en-US"/>
        </w:rPr>
      </w:pPr>
      <w:r w:rsidRPr="00543EDA">
        <w:rPr>
          <w:i/>
          <w:iCs/>
          <w:lang w:val="en-US"/>
        </w:rPr>
        <w:t>F. nucleatum</w:t>
      </w:r>
      <w:r w:rsidR="002259BF">
        <w:rPr>
          <w:lang w:val="en-US"/>
        </w:rPr>
        <w:t xml:space="preserve"> </w:t>
      </w:r>
      <w:r w:rsidRPr="00543EDA">
        <w:rPr>
          <w:lang w:val="en-US"/>
        </w:rPr>
        <w:t>operates as a key connector that integrates both commensalic and pathogenic microbial populations that colonize tooth surfaces and epithelial compartments, thereby mediating mutual interactions among anaerobic and facultative anaerobic bacterial taxa. This linking capacity constitutes a vital component in the development of progressive periodontal pathology and proves indispensable for both the establishment and advancement of the organized supragingival and subgingival biofilm architect</w:t>
      </w:r>
      <w:r w:rsidR="0068224A" w:rsidRPr="002F7DB4">
        <w:rPr>
          <w:lang w:val="en-US"/>
        </w:rPr>
        <w:t>u</w:t>
      </w:r>
      <w:r w:rsidR="00E45C33">
        <w:rPr>
          <w:lang w:val="en-US"/>
        </w:rPr>
        <w:t>re</w:t>
      </w:r>
      <w:r>
        <w:rPr>
          <w:rStyle w:val="Rimandonotadichiusura"/>
          <w:lang w:val="en-US"/>
        </w:rPr>
        <w:endnoteReference w:id="75"/>
      </w:r>
      <w:r>
        <w:rPr>
          <w:rStyle w:val="Rimandonotadichiusura"/>
          <w:lang w:val="en-US"/>
        </w:rPr>
        <w:endnoteReference w:id="76"/>
      </w:r>
      <w:r w:rsidR="00E45C33">
        <w:rPr>
          <w:lang w:val="en-US"/>
        </w:rPr>
        <w:t xml:space="preserve">. </w:t>
      </w:r>
      <w:r w:rsidR="007E73A2" w:rsidRPr="007E73A2">
        <w:rPr>
          <w:lang w:val="en-US"/>
        </w:rPr>
        <w:t>The outer membrane architecture of</w:t>
      </w:r>
      <w:r w:rsidR="002259BF">
        <w:rPr>
          <w:lang w:val="en-US"/>
        </w:rPr>
        <w:t xml:space="preserve"> </w:t>
      </w:r>
      <w:r w:rsidR="007E73A2" w:rsidRPr="007E73A2">
        <w:rPr>
          <w:i/>
          <w:iCs/>
          <w:lang w:val="en-US"/>
        </w:rPr>
        <w:t>F. nucleatum</w:t>
      </w:r>
      <w:r w:rsidR="002259BF">
        <w:rPr>
          <w:lang w:val="en-US"/>
        </w:rPr>
        <w:t xml:space="preserve"> </w:t>
      </w:r>
      <w:r w:rsidR="007E73A2" w:rsidRPr="007E73A2">
        <w:rPr>
          <w:lang w:val="en-US"/>
        </w:rPr>
        <w:t>comprises the following principal virulence factors</w:t>
      </w:r>
      <w:r w:rsidR="007E157B">
        <w:rPr>
          <w:vertAlign w:val="superscript"/>
          <w:lang w:val="en-US"/>
        </w:rPr>
        <w:t>74</w:t>
      </w:r>
      <w:r w:rsidR="007E73A2" w:rsidRPr="007E73A2">
        <w:rPr>
          <w:lang w:val="en-US"/>
        </w:rPr>
        <w:t>:</w:t>
      </w:r>
    </w:p>
    <w:p w14:paraId="0D9ADAAD" w14:textId="5A9CC400"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FadA adhesin</w:t>
      </w:r>
      <w:r w:rsidR="00B42D3A">
        <w:rPr>
          <w:lang w:val="en-US"/>
        </w:rPr>
        <w:t xml:space="preserve">, </w:t>
      </w:r>
      <w:r w:rsidR="007E73A2" w:rsidRPr="007E73A2">
        <w:rPr>
          <w:lang w:val="en-US"/>
        </w:rPr>
        <w:t>a filamentous protein functioning as both an adhesion molecule and invasive agent</w:t>
      </w:r>
      <w:r w:rsidR="00B42D3A">
        <w:rPr>
          <w:lang w:val="en-US"/>
        </w:rPr>
        <w:t>;</w:t>
      </w:r>
    </w:p>
    <w:p w14:paraId="08C3E582" w14:textId="5FE575A1"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Fap2</w:t>
      </w:r>
      <w:r w:rsidR="00B42D3A">
        <w:rPr>
          <w:lang w:val="en-US"/>
        </w:rPr>
        <w:t>,</w:t>
      </w:r>
      <w:r w:rsidR="007E73A2" w:rsidRPr="007E73A2">
        <w:rPr>
          <w:lang w:val="en-US"/>
        </w:rPr>
        <w:t xml:space="preserve"> a lectin-like autotransporter adhesin with immunosuppressive properties</w:t>
      </w:r>
      <w:r w:rsidR="00B42D3A">
        <w:rPr>
          <w:lang w:val="en-US"/>
        </w:rPr>
        <w:t>;</w:t>
      </w:r>
    </w:p>
    <w:p w14:paraId="5E486AB7" w14:textId="1F54BD2F"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RadD</w:t>
      </w:r>
      <w:r w:rsidR="00B42D3A">
        <w:rPr>
          <w:lang w:val="en-US"/>
        </w:rPr>
        <w:t>,</w:t>
      </w:r>
      <w:r w:rsidR="007E73A2" w:rsidRPr="007E73A2">
        <w:rPr>
          <w:lang w:val="en-US"/>
        </w:rPr>
        <w:t xml:space="preserve"> a co-aggregation mediator facilitating biofilm assembly</w:t>
      </w:r>
      <w:r w:rsidR="00B42D3A">
        <w:rPr>
          <w:lang w:val="en-US"/>
        </w:rPr>
        <w:t>;</w:t>
      </w:r>
    </w:p>
    <w:p w14:paraId="1B32DB0E" w14:textId="185B9C88"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Type 5</w:t>
      </w:r>
      <w:r w:rsidR="007E73A2" w:rsidRPr="007E73A2">
        <w:rPr>
          <w:lang w:val="en-US"/>
        </w:rPr>
        <w:t xml:space="preserve"> secreted autotransporters (T5SS)</w:t>
      </w:r>
      <w:r w:rsidR="00B42D3A">
        <w:rPr>
          <w:lang w:val="en-US"/>
        </w:rPr>
        <w:t xml:space="preserve">, </w:t>
      </w:r>
      <w:r w:rsidR="007E73A2" w:rsidRPr="007E73A2">
        <w:rPr>
          <w:lang w:val="en-US"/>
        </w:rPr>
        <w:t>including large adhesins and membrane-associated proteases</w:t>
      </w:r>
      <w:r w:rsidR="00B42D3A">
        <w:rPr>
          <w:lang w:val="en-US"/>
        </w:rPr>
        <w:t>;</w:t>
      </w:r>
    </w:p>
    <w:p w14:paraId="090A6322" w14:textId="4AA56792"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Outer membrane proteins</w:t>
      </w:r>
      <w:r w:rsidR="002259BF" w:rsidRPr="00B42D3A">
        <w:rPr>
          <w:i/>
          <w:iCs/>
          <w:lang w:val="en-US"/>
        </w:rPr>
        <w:t xml:space="preserve"> </w:t>
      </w:r>
      <w:r w:rsidR="007E73A2" w:rsidRPr="00B42D3A">
        <w:rPr>
          <w:i/>
          <w:iCs/>
          <w:lang w:val="en-US"/>
        </w:rPr>
        <w:t>(FomA, Aid1, CmpA)</w:t>
      </w:r>
      <w:r w:rsidR="00B42D3A">
        <w:rPr>
          <w:i/>
          <w:iCs/>
          <w:lang w:val="en-US"/>
        </w:rPr>
        <w:t>,</w:t>
      </w:r>
      <w:r w:rsidR="007E73A2" w:rsidRPr="007E73A2">
        <w:rPr>
          <w:lang w:val="en-US"/>
        </w:rPr>
        <w:t>promoting inter-bacterial interactions</w:t>
      </w:r>
      <w:r w:rsidR="00B42D3A">
        <w:rPr>
          <w:lang w:val="en-US"/>
        </w:rPr>
        <w:t>;</w:t>
      </w:r>
    </w:p>
    <w:p w14:paraId="6E89C7EB" w14:textId="18D2B72A"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Lipopolysaccharides (LPS)</w:t>
      </w:r>
      <w:r w:rsidR="00B42D3A">
        <w:rPr>
          <w:lang w:val="en-US"/>
        </w:rPr>
        <w:t xml:space="preserve">, </w:t>
      </w:r>
      <w:r w:rsidR="007E73A2" w:rsidRPr="007E73A2">
        <w:rPr>
          <w:lang w:val="en-US"/>
        </w:rPr>
        <w:t>potent inflammatory triggers</w:t>
      </w:r>
      <w:r w:rsidR="00B42D3A">
        <w:rPr>
          <w:lang w:val="en-US"/>
        </w:rPr>
        <w:t>;</w:t>
      </w:r>
    </w:p>
    <w:p w14:paraId="36C787E5" w14:textId="1246E87E" w:rsidR="007E73A2" w:rsidRPr="007E73A2" w:rsidRDefault="00D04573" w:rsidP="00543EDA">
      <w:pPr>
        <w:tabs>
          <w:tab w:val="num" w:pos="720"/>
        </w:tabs>
        <w:spacing w:line="360" w:lineRule="auto"/>
        <w:jc w:val="both"/>
        <w:rPr>
          <w:lang w:val="en-US"/>
        </w:rPr>
      </w:pPr>
      <w:r>
        <w:rPr>
          <w:lang w:val="en-US"/>
        </w:rPr>
        <w:t>-</w:t>
      </w:r>
      <w:r w:rsidR="007E73A2" w:rsidRPr="00B42D3A">
        <w:rPr>
          <w:i/>
          <w:iCs/>
          <w:lang w:val="en-US"/>
        </w:rPr>
        <w:t>Serine proteases</w:t>
      </w:r>
      <w:r w:rsidR="00B42D3A">
        <w:rPr>
          <w:lang w:val="en-US"/>
        </w:rPr>
        <w:t xml:space="preserve">, </w:t>
      </w:r>
      <w:r w:rsidR="007E73A2" w:rsidRPr="007E73A2">
        <w:rPr>
          <w:lang w:val="en-US"/>
        </w:rPr>
        <w:t>tissue-degrading enzymes</w:t>
      </w:r>
      <w:r w:rsidR="00B42D3A">
        <w:rPr>
          <w:lang w:val="en-US"/>
        </w:rPr>
        <w:t>;</w:t>
      </w:r>
    </w:p>
    <w:p w14:paraId="1FB529E5" w14:textId="7E893CF7" w:rsidR="007E73A2" w:rsidRPr="007E73A2" w:rsidRDefault="00D04573" w:rsidP="00543EDA">
      <w:pPr>
        <w:tabs>
          <w:tab w:val="num" w:pos="720"/>
        </w:tabs>
        <w:spacing w:line="360" w:lineRule="auto"/>
        <w:jc w:val="both"/>
        <w:rPr>
          <w:lang w:val="en-US"/>
        </w:rPr>
      </w:pPr>
      <w:r>
        <w:rPr>
          <w:lang w:val="en-US"/>
        </w:rPr>
        <w:t>-</w:t>
      </w:r>
      <w:r w:rsidR="007E73A2" w:rsidRPr="007E73A2">
        <w:rPr>
          <w:lang w:val="en-US"/>
        </w:rPr>
        <w:t>Metabolic byproducts</w:t>
      </w:r>
      <w:r w:rsidR="00B42D3A">
        <w:rPr>
          <w:lang w:val="en-US"/>
        </w:rPr>
        <w:t xml:space="preserve">, </w:t>
      </w:r>
      <w:r w:rsidR="007E73A2" w:rsidRPr="007E73A2">
        <w:rPr>
          <w:lang w:val="en-US"/>
        </w:rPr>
        <w:t xml:space="preserve">including </w:t>
      </w:r>
      <w:r w:rsidR="007E73A2" w:rsidRPr="00B42D3A">
        <w:rPr>
          <w:i/>
          <w:iCs/>
          <w:lang w:val="en-US"/>
        </w:rPr>
        <w:t>butyric acid, hydrogen sulfide, and methylmercaptan</w:t>
      </w:r>
    </w:p>
    <w:p w14:paraId="0414F788" w14:textId="193EFF24" w:rsidR="007E73A2" w:rsidRPr="007E73A2" w:rsidRDefault="00D04573" w:rsidP="00543EDA">
      <w:pPr>
        <w:tabs>
          <w:tab w:val="num" w:pos="720"/>
        </w:tabs>
        <w:spacing w:line="360" w:lineRule="auto"/>
        <w:jc w:val="both"/>
        <w:rPr>
          <w:lang w:val="en-US"/>
        </w:rPr>
      </w:pPr>
      <w:r>
        <w:rPr>
          <w:lang w:val="en-US"/>
        </w:rPr>
        <w:t>-</w:t>
      </w:r>
      <w:r w:rsidR="007E73A2" w:rsidRPr="007E73A2">
        <w:rPr>
          <w:lang w:val="en-US"/>
        </w:rPr>
        <w:t xml:space="preserve">Outer membrane vesicles </w:t>
      </w:r>
      <w:r w:rsidR="007E73A2" w:rsidRPr="00B42D3A">
        <w:rPr>
          <w:i/>
          <w:iCs/>
          <w:lang w:val="en-US"/>
        </w:rPr>
        <w:t>(OMVs)</w:t>
      </w:r>
      <w:r w:rsidR="00B42D3A">
        <w:rPr>
          <w:lang w:val="en-US"/>
        </w:rPr>
        <w:t xml:space="preserve">, </w:t>
      </w:r>
      <w:r w:rsidR="007E73A2" w:rsidRPr="007E73A2">
        <w:rPr>
          <w:lang w:val="en-US"/>
        </w:rPr>
        <w:t>vehicles for virulence factor delivery and immunomodulation</w:t>
      </w:r>
      <w:r w:rsidR="00B42D3A">
        <w:rPr>
          <w:lang w:val="en-US"/>
        </w:rPr>
        <w:t>;</w:t>
      </w:r>
    </w:p>
    <w:p w14:paraId="593AC8E8" w14:textId="77777777" w:rsidR="007E73A2" w:rsidRPr="00B42D3A" w:rsidRDefault="007E73A2" w:rsidP="007E73A2">
      <w:pPr>
        <w:spacing w:line="360" w:lineRule="auto"/>
        <w:jc w:val="both"/>
        <w:rPr>
          <w:i/>
          <w:iCs/>
          <w:lang w:val="en-US"/>
        </w:rPr>
      </w:pPr>
      <w:r w:rsidRPr="00B42D3A">
        <w:rPr>
          <w:i/>
          <w:iCs/>
          <w:lang w:val="en-US"/>
        </w:rPr>
        <w:t>FadA Adhesin and Cellular Invasion</w:t>
      </w:r>
    </w:p>
    <w:p w14:paraId="3F3A5974" w14:textId="62A81F8C" w:rsidR="007E73A2" w:rsidRPr="007E73A2" w:rsidRDefault="007E73A2" w:rsidP="007E73A2">
      <w:pPr>
        <w:spacing w:line="360" w:lineRule="auto"/>
        <w:jc w:val="both"/>
        <w:rPr>
          <w:lang w:val="en-US"/>
        </w:rPr>
      </w:pPr>
      <w:r w:rsidRPr="007E73A2">
        <w:rPr>
          <w:lang w:val="en-US"/>
        </w:rPr>
        <w:t>The FadA adhesin represents the primary virulence determinant in F. nucleatum, functioning in dual capacity as both an adhesion molecule and an invasive agent facilitating host cell penetration. FadA engages with E</w:t>
      </w:r>
      <w:r w:rsidRPr="007E73A2">
        <w:rPr>
          <w:lang w:val="en-US"/>
        </w:rPr>
        <w:noBreakHyphen/>
        <w:t>cadherin displayed on epithelial cell surfaces, enabling bacterial invasion while simultaneously disrupting cell</w:t>
      </w:r>
      <w:r w:rsidRPr="007E73A2">
        <w:rPr>
          <w:lang w:val="en-US"/>
        </w:rPr>
        <w:noBreakHyphen/>
        <w:t>to</w:t>
      </w:r>
      <w:r w:rsidRPr="007E73A2">
        <w:rPr>
          <w:lang w:val="en-US"/>
        </w:rPr>
        <w:noBreakHyphen/>
        <w:t>cell adhesion and intercellular signaling pathways, thereby permitting the ingress of supplementary pathogens into gingival connective tissues. Once internalized,</w:t>
      </w:r>
      <w:r w:rsidR="00FC6514">
        <w:rPr>
          <w:lang w:val="en-US"/>
        </w:rPr>
        <w:t xml:space="preserve"> </w:t>
      </w:r>
      <w:r w:rsidRPr="00FC6514">
        <w:rPr>
          <w:i/>
          <w:iCs/>
          <w:lang w:val="en-US"/>
        </w:rPr>
        <w:t>F.</w:t>
      </w:r>
      <w:r w:rsidRPr="007E73A2">
        <w:rPr>
          <w:lang w:val="en-US"/>
        </w:rPr>
        <w:t xml:space="preserve"> </w:t>
      </w:r>
      <w:r w:rsidRPr="00FC6514">
        <w:rPr>
          <w:i/>
          <w:iCs/>
          <w:lang w:val="en-US"/>
        </w:rPr>
        <w:t>nucleatum</w:t>
      </w:r>
      <w:r w:rsidR="00FC6514">
        <w:rPr>
          <w:lang w:val="en-US"/>
        </w:rPr>
        <w:t xml:space="preserve"> </w:t>
      </w:r>
      <w:r w:rsidRPr="007E73A2">
        <w:rPr>
          <w:lang w:val="en-US"/>
        </w:rPr>
        <w:t>engages the retinoic acid</w:t>
      </w:r>
      <w:r w:rsidRPr="007E73A2">
        <w:rPr>
          <w:lang w:val="en-US"/>
        </w:rPr>
        <w:noBreakHyphen/>
        <w:t xml:space="preserve">inducible gene I </w:t>
      </w:r>
      <w:r w:rsidRPr="00B42D3A">
        <w:rPr>
          <w:i/>
          <w:iCs/>
          <w:lang w:val="en-US"/>
        </w:rPr>
        <w:t>(RIG</w:t>
      </w:r>
      <w:r w:rsidRPr="00B42D3A">
        <w:rPr>
          <w:i/>
          <w:iCs/>
          <w:lang w:val="en-US"/>
        </w:rPr>
        <w:noBreakHyphen/>
        <w:t>I)</w:t>
      </w:r>
      <w:r w:rsidRPr="007E73A2">
        <w:rPr>
          <w:lang w:val="en-US"/>
        </w:rPr>
        <w:t xml:space="preserve"> receptor via FadA, activating the nuclear factor kappa</w:t>
      </w:r>
      <w:r w:rsidRPr="007E73A2">
        <w:rPr>
          <w:lang w:val="en-US"/>
        </w:rPr>
        <w:noBreakHyphen/>
        <w:t xml:space="preserve">B </w:t>
      </w:r>
      <w:r w:rsidRPr="00B42D3A">
        <w:rPr>
          <w:i/>
          <w:iCs/>
          <w:lang w:val="en-US"/>
        </w:rPr>
        <w:t>(NF</w:t>
      </w:r>
      <w:r w:rsidRPr="00B42D3A">
        <w:rPr>
          <w:i/>
          <w:iCs/>
          <w:lang w:val="en-US"/>
        </w:rPr>
        <w:noBreakHyphen/>
        <w:t>κB)</w:t>
      </w:r>
      <w:r w:rsidRPr="007E73A2">
        <w:rPr>
          <w:lang w:val="en-US"/>
        </w:rPr>
        <w:t xml:space="preserve"> signaling cascade and triggering an inflammatory response that results in collateral tissue injury. Additionally,</w:t>
      </w:r>
      <w:r w:rsidR="00FC6514">
        <w:rPr>
          <w:lang w:val="en-US"/>
        </w:rPr>
        <w:t xml:space="preserve"> </w:t>
      </w:r>
      <w:r w:rsidRPr="00FC6514">
        <w:rPr>
          <w:i/>
          <w:iCs/>
          <w:lang w:val="en-US"/>
        </w:rPr>
        <w:t>F.</w:t>
      </w:r>
      <w:r w:rsidRPr="007E73A2">
        <w:rPr>
          <w:lang w:val="en-US"/>
        </w:rPr>
        <w:t xml:space="preserve"> </w:t>
      </w:r>
      <w:r w:rsidRPr="00FC6514">
        <w:rPr>
          <w:i/>
          <w:iCs/>
          <w:lang w:val="en-US"/>
        </w:rPr>
        <w:t>nucleatum</w:t>
      </w:r>
      <w:r w:rsidR="00FC6514">
        <w:rPr>
          <w:lang w:val="en-US"/>
        </w:rPr>
        <w:t xml:space="preserve"> </w:t>
      </w:r>
      <w:r w:rsidRPr="007E73A2">
        <w:rPr>
          <w:lang w:val="en-US"/>
        </w:rPr>
        <w:lastRenderedPageBreak/>
        <w:t>generates amyloid structures derived from FadA during pathologic or stress</w:t>
      </w:r>
      <w:r w:rsidRPr="007E73A2">
        <w:rPr>
          <w:lang w:val="en-US"/>
        </w:rPr>
        <w:noBreakHyphen/>
        <w:t>induced conditions, which enhance biofilm assembly, augment acid resistance, and promote bacterial adhesion to host surfaces. Notably, amyloid FadA has demonstrated capacity to induce bone loss within periodontal tissues in animal models</w:t>
      </w:r>
      <w:r w:rsidR="00D04573">
        <w:rPr>
          <w:rStyle w:val="Rimandonotadichiusura"/>
          <w:lang w:val="en-US"/>
        </w:rPr>
        <w:endnoteReference w:id="77"/>
      </w:r>
      <w:r w:rsidR="00D04573">
        <w:rPr>
          <w:rStyle w:val="Rimandonotadichiusura"/>
          <w:lang w:val="en-US"/>
        </w:rPr>
        <w:endnoteReference w:id="78"/>
      </w:r>
      <w:r w:rsidR="002259BF">
        <w:rPr>
          <w:lang w:val="en-US"/>
        </w:rPr>
        <w:t>.</w:t>
      </w:r>
    </w:p>
    <w:p w14:paraId="3C868391" w14:textId="77777777" w:rsidR="007E73A2" w:rsidRPr="0090135E" w:rsidRDefault="007E73A2" w:rsidP="007E73A2">
      <w:pPr>
        <w:spacing w:line="360" w:lineRule="auto"/>
        <w:jc w:val="both"/>
        <w:rPr>
          <w:i/>
          <w:iCs/>
          <w:lang w:val="en-US"/>
        </w:rPr>
      </w:pPr>
      <w:r w:rsidRPr="0090135E">
        <w:rPr>
          <w:i/>
          <w:iCs/>
          <w:lang w:val="en-US"/>
        </w:rPr>
        <w:t>Fap2 Lectin-Like Adhesin and Immune Evasion</w:t>
      </w:r>
    </w:p>
    <w:p w14:paraId="0F723602" w14:textId="40BBF178" w:rsidR="007E73A2" w:rsidRPr="007E73A2" w:rsidRDefault="007E73A2" w:rsidP="007E73A2">
      <w:pPr>
        <w:spacing w:line="360" w:lineRule="auto"/>
        <w:jc w:val="both"/>
        <w:rPr>
          <w:lang w:val="en-US"/>
        </w:rPr>
      </w:pPr>
      <w:r w:rsidRPr="007E73A2">
        <w:rPr>
          <w:lang w:val="en-US"/>
        </w:rPr>
        <w:t>The Fap2 lectin-like adhesin binds with specificity to galactose and immunologic receptors (such as TIGIT) on host cell membranes, mediating bacterial binding to tumoral cells while simultaneously inhibiting the cytotoxic responses of T lymphocytes and natural killer cells</w:t>
      </w:r>
      <w:r w:rsidR="007E157B">
        <w:rPr>
          <w:vertAlign w:val="superscript"/>
          <w:lang w:val="en-US"/>
        </w:rPr>
        <w:t>77</w:t>
      </w:r>
      <w:r w:rsidR="00D04573">
        <w:rPr>
          <w:rStyle w:val="Rimandonotadichiusura"/>
          <w:lang w:val="en-US"/>
        </w:rPr>
        <w:endnoteReference w:id="79"/>
      </w:r>
      <w:r w:rsidR="002259BF">
        <w:rPr>
          <w:lang w:val="en-US"/>
        </w:rPr>
        <w:t>.</w:t>
      </w:r>
    </w:p>
    <w:p w14:paraId="2B8EA685" w14:textId="77777777" w:rsidR="007E73A2" w:rsidRPr="0090135E" w:rsidRDefault="007E73A2" w:rsidP="007E73A2">
      <w:pPr>
        <w:spacing w:line="360" w:lineRule="auto"/>
        <w:jc w:val="both"/>
        <w:rPr>
          <w:i/>
          <w:iCs/>
          <w:lang w:val="en-US"/>
        </w:rPr>
      </w:pPr>
      <w:r w:rsidRPr="0090135E">
        <w:rPr>
          <w:i/>
          <w:iCs/>
          <w:lang w:val="en-US"/>
        </w:rPr>
        <w:t>RadD and Biofilm Co-Aggregation</w:t>
      </w:r>
    </w:p>
    <w:p w14:paraId="1A971436" w14:textId="14892B56" w:rsidR="007E73A2" w:rsidRPr="007E73A2" w:rsidRDefault="007E73A2" w:rsidP="007E73A2">
      <w:pPr>
        <w:spacing w:line="360" w:lineRule="auto"/>
        <w:jc w:val="both"/>
        <w:rPr>
          <w:lang w:val="en-US"/>
        </w:rPr>
      </w:pPr>
      <w:r w:rsidRPr="007E73A2">
        <w:rPr>
          <w:lang w:val="en-US"/>
        </w:rPr>
        <w:t>RadD protein facilitates the co</w:t>
      </w:r>
      <w:r w:rsidRPr="007E73A2">
        <w:rPr>
          <w:lang w:val="en-US"/>
        </w:rPr>
        <w:noBreakHyphen/>
        <w:t>aggregation of</w:t>
      </w:r>
      <w:r w:rsidR="002259BF">
        <w:rPr>
          <w:lang w:val="en-US"/>
        </w:rPr>
        <w:t xml:space="preserve"> </w:t>
      </w:r>
      <w:r w:rsidRPr="002259BF">
        <w:rPr>
          <w:i/>
          <w:iCs/>
          <w:lang w:val="en-US"/>
        </w:rPr>
        <w:t>F. nucleatum</w:t>
      </w:r>
      <w:r w:rsidR="002259BF">
        <w:rPr>
          <w:lang w:val="en-US"/>
        </w:rPr>
        <w:t xml:space="preserve"> </w:t>
      </w:r>
      <w:r w:rsidRPr="007E73A2">
        <w:rPr>
          <w:lang w:val="en-US"/>
        </w:rPr>
        <w:t>with additional plaque-inhabiting microorganisms, promoting inter</w:t>
      </w:r>
      <w:r w:rsidRPr="007E73A2">
        <w:rPr>
          <w:lang w:val="en-US"/>
        </w:rPr>
        <w:noBreakHyphen/>
        <w:t>bacterial bridging with known periodontal pathogens and enabling the assembly of increasingly sophisticated and resistant polymicrobial biofilm configurations</w:t>
      </w:r>
      <w:r w:rsidR="00D04573">
        <w:rPr>
          <w:rStyle w:val="Rimandonotadichiusura"/>
          <w:lang w:val="en-US"/>
        </w:rPr>
        <w:endnoteReference w:id="80"/>
      </w:r>
      <w:r w:rsidR="002259BF">
        <w:rPr>
          <w:lang w:val="en-US"/>
        </w:rPr>
        <w:t>.</w:t>
      </w:r>
    </w:p>
    <w:p w14:paraId="30EF1191" w14:textId="77777777" w:rsidR="007E73A2" w:rsidRPr="0090135E" w:rsidRDefault="007E73A2" w:rsidP="007E73A2">
      <w:pPr>
        <w:spacing w:line="360" w:lineRule="auto"/>
        <w:jc w:val="both"/>
        <w:rPr>
          <w:i/>
          <w:iCs/>
          <w:lang w:val="en-US"/>
        </w:rPr>
      </w:pPr>
      <w:r w:rsidRPr="0090135E">
        <w:rPr>
          <w:i/>
          <w:iCs/>
          <w:lang w:val="en-US"/>
        </w:rPr>
        <w:t>Lipopolysaccharides and Inflammatory Cascade</w:t>
      </w:r>
    </w:p>
    <w:p w14:paraId="20004B8E" w14:textId="77777777" w:rsidR="00686C11" w:rsidRDefault="007E73A2" w:rsidP="007E73A2">
      <w:pPr>
        <w:spacing w:line="360" w:lineRule="auto"/>
        <w:jc w:val="both"/>
        <w:rPr>
          <w:i/>
          <w:iCs/>
          <w:lang w:val="en-US"/>
        </w:rPr>
      </w:pPr>
      <w:r w:rsidRPr="007E73A2">
        <w:rPr>
          <w:lang w:val="en-US"/>
        </w:rPr>
        <w:t>The outer membrane lipopolysaccharides and accessory wall components generate a potent pro</w:t>
      </w:r>
      <w:r w:rsidRPr="007E73A2">
        <w:rPr>
          <w:lang w:val="en-US"/>
        </w:rPr>
        <w:noBreakHyphen/>
        <w:t>inflammatory response through engagement with TLR2 and TLR4 on gingival epithelial cells and fibroblasts. Upon bacterial cell death, released LPS molecules are recognized by these receptors, triggering activation of the NLRP3 inflammasome complex, which orchestrates the production of interleukin</w:t>
      </w:r>
      <w:r w:rsidRPr="007E73A2">
        <w:rPr>
          <w:lang w:val="en-US"/>
        </w:rPr>
        <w:noBreakHyphen/>
        <w:t>1 β (IL</w:t>
      </w:r>
      <w:r w:rsidRPr="007E73A2">
        <w:rPr>
          <w:lang w:val="en-US"/>
        </w:rPr>
        <w:noBreakHyphen/>
        <w:t>1 β) and amplifies the inflammatory cascade within periodontal tissues, driving alveolar bone resorption. The coordinated production of TNF</w:t>
      </w:r>
      <w:r w:rsidRPr="007E73A2">
        <w:rPr>
          <w:lang w:val="en-US"/>
        </w:rPr>
        <w:noBreakHyphen/>
        <w:t>α, IL</w:t>
      </w:r>
      <w:r w:rsidRPr="007E73A2">
        <w:rPr>
          <w:lang w:val="en-US"/>
        </w:rPr>
        <w:noBreakHyphen/>
        <w:t>6, and IL</w:t>
      </w:r>
      <w:r w:rsidRPr="007E73A2">
        <w:rPr>
          <w:lang w:val="en-US"/>
        </w:rPr>
        <w:noBreakHyphen/>
        <w:t>8 collectively drives periodontal tissue destruction</w:t>
      </w:r>
      <w:r w:rsidR="00686C11">
        <w:rPr>
          <w:vertAlign w:val="superscript"/>
          <w:lang w:val="en-US"/>
        </w:rPr>
        <w:t>69 77</w:t>
      </w:r>
      <w:r w:rsidR="00686C11">
        <w:rPr>
          <w:i/>
          <w:iCs/>
          <w:lang w:val="en-US"/>
        </w:rPr>
        <w:t>.</w:t>
      </w:r>
    </w:p>
    <w:p w14:paraId="31A7C51C" w14:textId="7E9E7520" w:rsidR="007E73A2" w:rsidRPr="00686C11" w:rsidRDefault="007E73A2" w:rsidP="007E73A2">
      <w:pPr>
        <w:spacing w:line="360" w:lineRule="auto"/>
        <w:jc w:val="both"/>
        <w:rPr>
          <w:vertAlign w:val="superscript"/>
          <w:lang w:val="en-US"/>
        </w:rPr>
      </w:pPr>
      <w:r w:rsidRPr="0090135E">
        <w:rPr>
          <w:i/>
          <w:iCs/>
          <w:lang w:val="en-US"/>
        </w:rPr>
        <w:t>Serine Proteases and Tissue Degradation</w:t>
      </w:r>
    </w:p>
    <w:p w14:paraId="2BC140D0" w14:textId="627222A5" w:rsidR="0023144A" w:rsidRPr="0023144A" w:rsidRDefault="0023144A" w:rsidP="007E73A2">
      <w:pPr>
        <w:spacing w:line="360" w:lineRule="auto"/>
        <w:jc w:val="both"/>
        <w:rPr>
          <w:lang w:val="en-US"/>
        </w:rPr>
      </w:pPr>
      <w:r w:rsidRPr="0023144A">
        <w:rPr>
          <w:lang w:val="en-US"/>
        </w:rPr>
        <w:t>The 61–65 kilodalton serine endopeptidase, designated fusolisin, that is secreted by</w:t>
      </w:r>
      <w:r w:rsidR="00F27EEF">
        <w:rPr>
          <w:lang w:val="en-US"/>
        </w:rPr>
        <w:t xml:space="preserve"> </w:t>
      </w:r>
      <w:r w:rsidRPr="0023144A">
        <w:rPr>
          <w:i/>
          <w:iCs/>
          <w:lang w:val="en-US"/>
        </w:rPr>
        <w:t>F. nucleatum</w:t>
      </w:r>
      <w:r w:rsidR="00F27EEF">
        <w:rPr>
          <w:lang w:val="en-US"/>
        </w:rPr>
        <w:t xml:space="preserve"> </w:t>
      </w:r>
      <w:r w:rsidRPr="0023144A">
        <w:rPr>
          <w:lang w:val="en-US"/>
        </w:rPr>
        <w:t xml:space="preserve">possesses enzymatic capacity to dismantle host tissue architecture and extracellular matrix scaffolding. This proteolytic enzyme liberates nutrient substrates that are indispensable for bacterial anabolism and growth metabolism. Concomitantly, fusolisin catalyzes the proteolytic cleavage of the alpha chain of immunoglobulin A (IgA), thereby undermining the protective mucosal immune barrier and facilitating pathogenic evasion of host defenses. The protease additionally hydrolyzes additional structural proteins of the extracellular matrix, including collagen and fibronectin, </w:t>
      </w:r>
      <w:r w:rsidRPr="0023144A">
        <w:rPr>
          <w:lang w:val="en-US"/>
        </w:rPr>
        <w:lastRenderedPageBreak/>
        <w:t>resulting in the degradation of periodontal supporting tissues and suppression of innate immune effector molecules. Furthermore,</w:t>
      </w:r>
      <w:r w:rsidR="00F27EEF">
        <w:rPr>
          <w:lang w:val="en-US"/>
        </w:rPr>
        <w:t xml:space="preserve"> </w:t>
      </w:r>
      <w:r w:rsidRPr="0023144A">
        <w:rPr>
          <w:i/>
          <w:iCs/>
          <w:lang w:val="en-US"/>
        </w:rPr>
        <w:t>F. nucleatum</w:t>
      </w:r>
      <w:r w:rsidRPr="0023144A">
        <w:rPr>
          <w:lang w:val="en-US"/>
        </w:rPr>
        <w:t>-derived proteolytic activity operates in concert with host-derived metalloproteinases (MMPs) to amplify the magnitude of pericellular connective tissue destruction during periodontal disease progression</w:t>
      </w:r>
      <w:r>
        <w:rPr>
          <w:rStyle w:val="Rimandonotadichiusura"/>
          <w:lang w:val="en-US"/>
        </w:rPr>
        <w:endnoteReference w:id="81"/>
      </w:r>
      <w:r>
        <w:rPr>
          <w:rStyle w:val="Rimandonotadichiusura"/>
          <w:lang w:val="en-US"/>
        </w:rPr>
        <w:endnoteReference w:id="82"/>
      </w:r>
      <w:r>
        <w:rPr>
          <w:rStyle w:val="Rimandonotadichiusura"/>
          <w:lang w:val="en-US"/>
        </w:rPr>
        <w:endnoteReference w:id="83"/>
      </w:r>
      <w:r w:rsidR="00F27EEF">
        <w:rPr>
          <w:lang w:val="en-US"/>
        </w:rPr>
        <w:t>.</w:t>
      </w:r>
    </w:p>
    <w:p w14:paraId="4C4E0C78" w14:textId="61985351" w:rsidR="007E73A2" w:rsidRPr="0090135E" w:rsidRDefault="007E73A2" w:rsidP="007E73A2">
      <w:pPr>
        <w:spacing w:line="360" w:lineRule="auto"/>
        <w:jc w:val="both"/>
        <w:rPr>
          <w:i/>
          <w:iCs/>
          <w:lang w:val="en-US"/>
        </w:rPr>
      </w:pPr>
      <w:r w:rsidRPr="0090135E">
        <w:rPr>
          <w:i/>
          <w:iCs/>
          <w:lang w:val="en-US"/>
        </w:rPr>
        <w:t>Butyric Acid and Metabolic Pathways</w:t>
      </w:r>
    </w:p>
    <w:p w14:paraId="69C3A6FC" w14:textId="7FA8ED94" w:rsidR="00BB0A21" w:rsidRPr="00BB0A21" w:rsidRDefault="00BB0A21" w:rsidP="007E73A2">
      <w:pPr>
        <w:spacing w:line="360" w:lineRule="auto"/>
        <w:jc w:val="both"/>
        <w:rPr>
          <w:lang w:val="en-US"/>
        </w:rPr>
      </w:pPr>
      <w:r w:rsidRPr="00BB0A21">
        <w:rPr>
          <w:lang w:val="en-US"/>
        </w:rPr>
        <w:t xml:space="preserve">Butyric acid, a predominant end-product of bacterial fermentation pathways in F. nucleatum, exerts dual effects on the integrity and restoration of periodontal connective tissues through distinct biological mechanisms. High concentrations of butyrate stimulate the formation of oxidative stress markers and reactive oxygen species </w:t>
      </w:r>
      <w:r w:rsidRPr="00B42D3A">
        <w:rPr>
          <w:i/>
          <w:iCs/>
          <w:lang w:val="en-US"/>
        </w:rPr>
        <w:t>(ROS)</w:t>
      </w:r>
      <w:r w:rsidRPr="00BB0A21">
        <w:rPr>
          <w:lang w:val="en-US"/>
        </w:rPr>
        <w:t xml:space="preserve"> within bone-forming osteoblastic populations. This ROS generation subsequently promotes the biosynthesis and discharge of eicosanoid signaling molecules </w:t>
      </w:r>
      <w:r w:rsidRPr="00B42D3A">
        <w:rPr>
          <w:i/>
          <w:iCs/>
          <w:lang w:val="en-US"/>
        </w:rPr>
        <w:t>(8-isoprostaglandin F2</w:t>
      </w:r>
      <w:r w:rsidRPr="00B42D3A">
        <w:rPr>
          <w:i/>
          <w:iCs/>
        </w:rPr>
        <w:t>α</w:t>
      </w:r>
      <w:r w:rsidRPr="00B42D3A">
        <w:rPr>
          <w:i/>
          <w:iCs/>
          <w:lang w:val="en-US"/>
        </w:rPr>
        <w:t>)</w:t>
      </w:r>
      <w:r w:rsidRPr="00BB0A21">
        <w:rPr>
          <w:lang w:val="en-US"/>
        </w:rPr>
        <w:t xml:space="preserve"> and matrix-degrading zinc-dependent enzymes, specifically matrix metalloproteinase-2 </w:t>
      </w:r>
      <w:r w:rsidRPr="00B42D3A">
        <w:rPr>
          <w:i/>
          <w:iCs/>
          <w:lang w:val="en-US"/>
        </w:rPr>
        <w:t>(MMP-2).</w:t>
      </w:r>
      <w:r w:rsidRPr="00BB0A21">
        <w:rPr>
          <w:lang w:val="en-US"/>
        </w:rPr>
        <w:t xml:space="preserve"> These molecular mediators collectively orchestrate the destruction of alveolar bone architecture and compromise the capacity for tissue healing and regeneration. Supplementary volatile fermentation byproducts</w:t>
      </w:r>
      <w:r w:rsidR="00043DBE">
        <w:rPr>
          <w:lang w:val="en-US"/>
        </w:rPr>
        <w:t xml:space="preserve"> </w:t>
      </w:r>
      <w:r w:rsidRPr="00BB0A21">
        <w:rPr>
          <w:lang w:val="en-US"/>
        </w:rPr>
        <w:t>including hydrogen sulfide and volatile thiols such as methylmercaptan</w:t>
      </w:r>
      <w:r w:rsidR="00043DBE">
        <w:rPr>
          <w:lang w:val="en-US"/>
        </w:rPr>
        <w:t xml:space="preserve"> </w:t>
      </w:r>
      <w:r w:rsidRPr="00BB0A21">
        <w:rPr>
          <w:lang w:val="en-US"/>
        </w:rPr>
        <w:t>suppress both the proliferative activity of fibroblast populations and the functionality of local immune cell compartments. Through these mechanisms,</w:t>
      </w:r>
      <w:r w:rsidR="00043DBE">
        <w:rPr>
          <w:lang w:val="en-US"/>
        </w:rPr>
        <w:t xml:space="preserve"> </w:t>
      </w:r>
      <w:r w:rsidRPr="00043DBE">
        <w:rPr>
          <w:i/>
          <w:iCs/>
          <w:lang w:val="en-US"/>
        </w:rPr>
        <w:t>F. nucleatum</w:t>
      </w:r>
      <w:r w:rsidR="00043DBE">
        <w:rPr>
          <w:lang w:val="en-US"/>
        </w:rPr>
        <w:t xml:space="preserve"> </w:t>
      </w:r>
      <w:r w:rsidRPr="00BB0A21">
        <w:rPr>
          <w:lang w:val="en-US"/>
        </w:rPr>
        <w:t>metabolites establish a pathogenic microenvironment that permits sustained bacterial colonization, and within malignant tissue compartments, facilitates neoplastic progression and tumor aggression</w:t>
      </w:r>
      <w:r>
        <w:rPr>
          <w:rStyle w:val="Rimandonotadichiusura"/>
          <w:lang w:val="en-US"/>
        </w:rPr>
        <w:endnoteReference w:id="84"/>
      </w:r>
      <w:r w:rsidR="0023144A">
        <w:rPr>
          <w:rStyle w:val="Rimandonotadichiusura"/>
          <w:lang w:val="en-US"/>
        </w:rPr>
        <w:endnoteReference w:id="85"/>
      </w:r>
      <w:r w:rsidR="0023144A">
        <w:rPr>
          <w:rStyle w:val="Rimandonotadichiusura"/>
          <w:lang w:val="en-US"/>
        </w:rPr>
        <w:endnoteReference w:id="86"/>
      </w:r>
      <w:r w:rsidR="00043DBE">
        <w:rPr>
          <w:lang w:val="en-US"/>
        </w:rPr>
        <w:t>.</w:t>
      </w:r>
    </w:p>
    <w:p w14:paraId="0493C6B1" w14:textId="325E6133" w:rsidR="007E73A2" w:rsidRPr="0090135E" w:rsidRDefault="007E73A2" w:rsidP="007E73A2">
      <w:pPr>
        <w:spacing w:line="360" w:lineRule="auto"/>
        <w:jc w:val="both"/>
        <w:rPr>
          <w:i/>
          <w:iCs/>
          <w:lang w:val="en-US"/>
        </w:rPr>
      </w:pPr>
      <w:r w:rsidRPr="0090135E">
        <w:rPr>
          <w:i/>
          <w:iCs/>
          <w:lang w:val="en-US"/>
        </w:rPr>
        <w:t>Epithelial-Mesenchymal Transition (EMT)</w:t>
      </w:r>
    </w:p>
    <w:p w14:paraId="343A1CD7" w14:textId="3BAB255B" w:rsidR="007E73A2" w:rsidRPr="007E73A2" w:rsidRDefault="007E73A2" w:rsidP="007E73A2">
      <w:pPr>
        <w:spacing w:line="360" w:lineRule="auto"/>
        <w:jc w:val="both"/>
        <w:rPr>
          <w:lang w:val="en-US"/>
        </w:rPr>
      </w:pPr>
      <w:r w:rsidRPr="00FC6514">
        <w:rPr>
          <w:i/>
          <w:iCs/>
          <w:lang w:val="en-US"/>
        </w:rPr>
        <w:t>Fusobacterium nucleatum</w:t>
      </w:r>
      <w:r w:rsidR="00FC6514">
        <w:rPr>
          <w:lang w:val="en-US"/>
        </w:rPr>
        <w:t xml:space="preserve"> </w:t>
      </w:r>
      <w:r w:rsidRPr="007E73A2">
        <w:rPr>
          <w:lang w:val="en-US"/>
        </w:rPr>
        <w:t>and allied Gram</w:t>
      </w:r>
      <w:r w:rsidRPr="007E73A2">
        <w:rPr>
          <w:lang w:val="en-US"/>
        </w:rPr>
        <w:noBreakHyphen/>
        <w:t>negative periodontal organisms induce epithelial</w:t>
      </w:r>
      <w:r w:rsidRPr="007E73A2">
        <w:rPr>
          <w:lang w:val="en-US"/>
        </w:rPr>
        <w:noBreakHyphen/>
        <w:t>mesenchymal transition (EMT) within gingival epithelial cells, upregulating Snail</w:t>
      </w:r>
      <w:r w:rsidRPr="007E73A2">
        <w:rPr>
          <w:lang w:val="en-US"/>
        </w:rPr>
        <w:noBreakHyphen/>
        <w:t>1 expression while suppressing E</w:t>
      </w:r>
      <w:r w:rsidRPr="007E73A2">
        <w:rPr>
          <w:lang w:val="en-US"/>
        </w:rPr>
        <w:noBreakHyphen/>
        <w:t>cadherin synthesis and disrupting epithelial cell adhesion. As the gingival epithelium loses structural cohesion, invading pathogens readily penetrate more deeply into subjacent tissues, exacerbating tissue destruction and disease progression</w:t>
      </w:r>
      <w:r w:rsidR="00686C11">
        <w:rPr>
          <w:vertAlign w:val="superscript"/>
          <w:lang w:val="en-US"/>
        </w:rPr>
        <w:t>7778</w:t>
      </w:r>
      <w:r w:rsidRPr="007E73A2">
        <w:rPr>
          <w:lang w:val="en-US"/>
        </w:rPr>
        <w:t>.</w:t>
      </w:r>
      <w:r w:rsidR="00B32383">
        <w:rPr>
          <w:lang w:val="en-US"/>
        </w:rPr>
        <w:t xml:space="preserve"> </w:t>
      </w:r>
    </w:p>
    <w:p w14:paraId="784E4DBB" w14:textId="77777777" w:rsidR="005535B8" w:rsidRDefault="007E73A2" w:rsidP="007E73A2">
      <w:pPr>
        <w:spacing w:line="360" w:lineRule="auto"/>
        <w:jc w:val="both"/>
        <w:rPr>
          <w:i/>
          <w:iCs/>
          <w:lang w:val="en-US"/>
        </w:rPr>
      </w:pPr>
      <w:r w:rsidRPr="007E73A2">
        <w:rPr>
          <w:i/>
          <w:iCs/>
          <w:lang w:val="en-US"/>
        </w:rPr>
        <w:t>Neutrophil Suppression and Immune Evasion</w:t>
      </w:r>
    </w:p>
    <w:p w14:paraId="732C4F15" w14:textId="6000973D" w:rsidR="007E73A2" w:rsidRPr="007E73A2" w:rsidRDefault="00BB0A21" w:rsidP="007E73A2">
      <w:pPr>
        <w:spacing w:line="360" w:lineRule="auto"/>
        <w:jc w:val="both"/>
        <w:rPr>
          <w:i/>
          <w:iCs/>
          <w:lang w:val="en-US"/>
        </w:rPr>
      </w:pPr>
      <w:r w:rsidRPr="00BB0A21">
        <w:rPr>
          <w:lang w:val="en-US"/>
        </w:rPr>
        <w:t>The subspecies</w:t>
      </w:r>
      <w:r w:rsidR="00043DBE">
        <w:rPr>
          <w:lang w:val="en-US"/>
        </w:rPr>
        <w:t xml:space="preserve"> </w:t>
      </w:r>
      <w:r w:rsidRPr="00BB0A21">
        <w:rPr>
          <w:i/>
          <w:iCs/>
          <w:lang w:val="en-US"/>
        </w:rPr>
        <w:t>F. nucleatum</w:t>
      </w:r>
      <w:r w:rsidR="00043DBE">
        <w:rPr>
          <w:lang w:val="en-US"/>
        </w:rPr>
        <w:t xml:space="preserve"> </w:t>
      </w:r>
      <w:r w:rsidRPr="00BB0A21">
        <w:rPr>
          <w:lang w:val="en-US"/>
        </w:rPr>
        <w:t>subsp.</w:t>
      </w:r>
      <w:r w:rsidR="00043DBE">
        <w:rPr>
          <w:lang w:val="en-US"/>
        </w:rPr>
        <w:t xml:space="preserve"> </w:t>
      </w:r>
      <w:r w:rsidRPr="00BB0A21">
        <w:rPr>
          <w:i/>
          <w:iCs/>
          <w:lang w:val="en-US"/>
        </w:rPr>
        <w:t>nucleatum</w:t>
      </w:r>
      <w:r w:rsidR="00043DBE">
        <w:rPr>
          <w:i/>
          <w:iCs/>
          <w:lang w:val="en-US"/>
        </w:rPr>
        <w:t xml:space="preserve"> </w:t>
      </w:r>
      <w:r w:rsidRPr="00BB0A21">
        <w:rPr>
          <w:lang w:val="en-US"/>
        </w:rPr>
        <w:t>an</w:t>
      </w:r>
      <w:r w:rsidR="00043DBE">
        <w:rPr>
          <w:lang w:val="en-US"/>
        </w:rPr>
        <w:t xml:space="preserve">d </w:t>
      </w:r>
      <w:r w:rsidRPr="00BB0A21">
        <w:rPr>
          <w:i/>
          <w:iCs/>
          <w:lang w:val="en-US"/>
        </w:rPr>
        <w:t>F. nucleatum</w:t>
      </w:r>
      <w:r w:rsidR="00043DBE">
        <w:rPr>
          <w:lang w:val="en-US"/>
        </w:rPr>
        <w:t xml:space="preserve"> </w:t>
      </w:r>
      <w:r w:rsidRPr="00BB0A21">
        <w:rPr>
          <w:lang w:val="en-US"/>
        </w:rPr>
        <w:t>subsp.</w:t>
      </w:r>
      <w:r w:rsidR="00D215E8">
        <w:rPr>
          <w:lang w:val="en-US"/>
        </w:rPr>
        <w:t xml:space="preserve"> </w:t>
      </w:r>
      <w:r w:rsidRPr="00BB0A21">
        <w:rPr>
          <w:i/>
          <w:iCs/>
          <w:lang w:val="en-US"/>
        </w:rPr>
        <w:t>polymorphum</w:t>
      </w:r>
      <w:r w:rsidR="00D215E8">
        <w:rPr>
          <w:lang w:val="en-US"/>
        </w:rPr>
        <w:t xml:space="preserve"> </w:t>
      </w:r>
      <w:r w:rsidRPr="00BB0A21">
        <w:rPr>
          <w:lang w:val="en-US"/>
        </w:rPr>
        <w:t xml:space="preserve">demonstrate the capacity to inhibit the generation of reactive oxygen species (ROS) including superoxide anions from neutrophils. This suppression mechanism prevents the </w:t>
      </w:r>
      <w:r w:rsidRPr="00BB0A21">
        <w:rPr>
          <w:lang w:val="en-US"/>
        </w:rPr>
        <w:lastRenderedPageBreak/>
        <w:t>oxidative killing pathways that normally inactivate invading pathogens. The bacterium triggers both necrotic and apoptotic cell death pathways in neutrophils simultaneously. This dual-pathway induced death effectively diminishes the presence of functional neutrophils at bacterial inoculation sites. By impairing neutrophil antimicrobial capacity during early periodontal disease pathogenesis,</w:t>
      </w:r>
      <w:r w:rsidR="00043DBE">
        <w:rPr>
          <w:lang w:val="en-US"/>
        </w:rPr>
        <w:t xml:space="preserve"> </w:t>
      </w:r>
      <w:r w:rsidRPr="00BB0A21">
        <w:rPr>
          <w:i/>
          <w:iCs/>
          <w:lang w:val="en-US"/>
        </w:rPr>
        <w:t>F. nucleatum</w:t>
      </w:r>
      <w:r w:rsidR="00043DBE">
        <w:rPr>
          <w:lang w:val="en-US"/>
        </w:rPr>
        <w:t xml:space="preserve"> </w:t>
      </w:r>
      <w:r w:rsidRPr="00BB0A21">
        <w:rPr>
          <w:lang w:val="en-US"/>
        </w:rPr>
        <w:t>enables the progressive accumulation of secondary anaerobic pathogens, notably</w:t>
      </w:r>
      <w:r w:rsidR="00043DBE">
        <w:rPr>
          <w:lang w:val="en-US"/>
        </w:rPr>
        <w:t xml:space="preserve"> </w:t>
      </w:r>
      <w:r w:rsidRPr="00BB0A21">
        <w:rPr>
          <w:i/>
          <w:iCs/>
          <w:lang w:val="en-US"/>
        </w:rPr>
        <w:t>Porphyromonas gingivalis</w:t>
      </w:r>
      <w:r w:rsidRPr="00BB0A21">
        <w:rPr>
          <w:lang w:val="en-US"/>
        </w:rPr>
        <w:t>, within disease-affected tissue compartments. This microbial succession cascade thereby accelerates the temporal progression of periodontal patholog</w:t>
      </w:r>
      <w:r w:rsidR="00043DBE">
        <w:rPr>
          <w:lang w:val="en-US"/>
        </w:rPr>
        <w:t>y</w:t>
      </w:r>
      <w:r>
        <w:rPr>
          <w:rStyle w:val="Rimandonotadichiusura"/>
          <w:lang w:val="en-US"/>
        </w:rPr>
        <w:endnoteReference w:id="87"/>
      </w:r>
      <w:r>
        <w:rPr>
          <w:rStyle w:val="Rimandonotadichiusura"/>
          <w:lang w:val="en-US"/>
        </w:rPr>
        <w:endnoteReference w:id="88"/>
      </w:r>
      <w:r>
        <w:rPr>
          <w:rStyle w:val="Rimandonotadichiusura"/>
          <w:lang w:val="en-US"/>
        </w:rPr>
        <w:endnoteReference w:id="89"/>
      </w:r>
      <w:r w:rsidR="00043DBE">
        <w:rPr>
          <w:lang w:val="en-US"/>
        </w:rPr>
        <w:t>.</w:t>
      </w:r>
    </w:p>
    <w:p w14:paraId="05E2BCE3" w14:textId="77777777" w:rsidR="007E73A2" w:rsidRPr="007E73A2" w:rsidRDefault="007E73A2" w:rsidP="007E73A2">
      <w:pPr>
        <w:spacing w:line="360" w:lineRule="auto"/>
        <w:jc w:val="both"/>
        <w:rPr>
          <w:i/>
          <w:iCs/>
          <w:lang w:val="en-US"/>
        </w:rPr>
      </w:pPr>
      <w:r w:rsidRPr="007E73A2">
        <w:rPr>
          <w:i/>
          <w:iCs/>
          <w:lang w:val="en-US"/>
        </w:rPr>
        <w:t>Macrophage Infiltration and Osteoclast Activation</w:t>
      </w:r>
    </w:p>
    <w:p w14:paraId="6675054A" w14:textId="68E17703" w:rsidR="007E73A2" w:rsidRPr="004352F6" w:rsidRDefault="005535B8" w:rsidP="007E73A2">
      <w:pPr>
        <w:spacing w:line="360" w:lineRule="auto"/>
        <w:jc w:val="both"/>
        <w:rPr>
          <w:lang w:val="en-US"/>
        </w:rPr>
      </w:pPr>
      <w:r w:rsidRPr="005535B8">
        <w:rPr>
          <w:i/>
          <w:iCs/>
          <w:lang w:val="en-US"/>
        </w:rPr>
        <w:t>F. nucleatum</w:t>
      </w:r>
      <w:r w:rsidR="0090135E">
        <w:rPr>
          <w:lang w:val="en-US"/>
        </w:rPr>
        <w:t xml:space="preserve"> </w:t>
      </w:r>
      <w:r w:rsidRPr="005535B8">
        <w:rPr>
          <w:lang w:val="en-US"/>
        </w:rPr>
        <w:t>stimulates the biosynthesis and secretion of interleukin</w:t>
      </w:r>
      <w:r w:rsidRPr="005535B8">
        <w:rPr>
          <w:lang w:val="en-US"/>
        </w:rPr>
        <w:noBreakHyphen/>
        <w:t xml:space="preserve">1 </w:t>
      </w:r>
      <w:r w:rsidRPr="005535B8">
        <w:t>β</w:t>
      </w:r>
      <w:r w:rsidRPr="005535B8">
        <w:rPr>
          <w:lang w:val="en-US"/>
        </w:rPr>
        <w:t>, interleukin</w:t>
      </w:r>
      <w:r w:rsidRPr="005535B8">
        <w:rPr>
          <w:lang w:val="en-US"/>
        </w:rPr>
        <w:noBreakHyphen/>
        <w:t>6, tumor necrosis factor</w:t>
      </w:r>
      <w:r w:rsidRPr="005535B8">
        <w:rPr>
          <w:lang w:val="en-US"/>
        </w:rPr>
        <w:noBreakHyphen/>
      </w:r>
      <w:r w:rsidRPr="005535B8">
        <w:t>α</w:t>
      </w:r>
      <w:r w:rsidRPr="005535B8">
        <w:rPr>
          <w:lang w:val="en-US"/>
        </w:rPr>
        <w:t xml:space="preserve">, and the high-mobility-group box 1 protein (HMGB1) whilst concurrently promoting the recruitment and accumulation of mononuclear phagocytes within inflamed gingival tissues. </w:t>
      </w:r>
      <w:r w:rsidRPr="00BB0A21">
        <w:rPr>
          <w:lang w:val="en-US"/>
        </w:rPr>
        <w:t>This coordinated immune activation drives rapid inflammatory responses within the periodontium. The bacterial pathogenic process further facilitates the mobilization and maturation of multinucleated bone</w:t>
      </w:r>
      <w:r w:rsidRPr="00BB0A21">
        <w:rPr>
          <w:lang w:val="en-US"/>
        </w:rPr>
        <w:noBreakHyphen/>
        <w:t>resorbing osteoclasts. The differentiation of these osteoclasts is amplified through IL</w:t>
      </w:r>
      <w:r w:rsidRPr="00BB0A21">
        <w:rPr>
          <w:lang w:val="en-US"/>
        </w:rPr>
        <w:noBreakHyphen/>
        <w:t xml:space="preserve">1 </w:t>
      </w:r>
      <w:r w:rsidRPr="005535B8">
        <w:t>β</w:t>
      </w:r>
      <w:r w:rsidRPr="00BB0A21">
        <w:rPr>
          <w:lang w:val="en-US"/>
        </w:rPr>
        <w:t xml:space="preserve"> and TNF</w:t>
      </w:r>
      <w:r w:rsidRPr="00BB0A21">
        <w:rPr>
          <w:lang w:val="en-US"/>
        </w:rPr>
        <w:noBreakHyphen/>
      </w:r>
      <w:r w:rsidRPr="005535B8">
        <w:t>α</w:t>
      </w:r>
      <w:r w:rsidRPr="00BB0A21">
        <w:rPr>
          <w:lang w:val="en-US"/>
        </w:rPr>
        <w:noBreakHyphen/>
        <w:t>dependent signaling mechanisms. The intensified generation of pro</w:t>
      </w:r>
      <w:r w:rsidRPr="00BB0A21">
        <w:rPr>
          <w:lang w:val="en-US"/>
        </w:rPr>
        <w:noBreakHyphen/>
        <w:t>inflammatory mediators orchestrated through</w:t>
      </w:r>
      <w:r w:rsidR="00D215E8">
        <w:rPr>
          <w:lang w:val="en-US"/>
        </w:rPr>
        <w:t xml:space="preserve"> </w:t>
      </w:r>
      <w:r w:rsidRPr="00BB0A21">
        <w:rPr>
          <w:i/>
          <w:iCs/>
          <w:lang w:val="en-US"/>
        </w:rPr>
        <w:t>F. nucleatum</w:t>
      </w:r>
      <w:r w:rsidR="00D215E8">
        <w:rPr>
          <w:lang w:val="en-US"/>
        </w:rPr>
        <w:t xml:space="preserve"> </w:t>
      </w:r>
      <w:r w:rsidRPr="00BB0A21">
        <w:rPr>
          <w:lang w:val="en-US"/>
        </w:rPr>
        <w:t>exposure demonstrates a direct causal association with osteoclast maturation. This process results in the destruction of alveolar bone tissue</w:t>
      </w:r>
      <w:r>
        <w:rPr>
          <w:rStyle w:val="Rimandonotadichiusura"/>
          <w:lang w:val="en-US"/>
        </w:rPr>
        <w:endnoteReference w:id="90"/>
      </w:r>
      <w:r>
        <w:rPr>
          <w:rStyle w:val="Rimandonotadichiusura"/>
          <w:lang w:val="en-US"/>
        </w:rPr>
        <w:endnoteReference w:id="91"/>
      </w:r>
      <w:r w:rsidR="00D215E8">
        <w:rPr>
          <w:lang w:val="en-US"/>
        </w:rPr>
        <w:t>.</w:t>
      </w:r>
    </w:p>
    <w:p w14:paraId="3258C3E5" w14:textId="77777777" w:rsidR="007E73A2" w:rsidRPr="007E73A2" w:rsidRDefault="007E73A2" w:rsidP="007E73A2">
      <w:pPr>
        <w:spacing w:line="360" w:lineRule="auto"/>
        <w:jc w:val="both"/>
        <w:rPr>
          <w:i/>
          <w:iCs/>
          <w:lang w:val="en-US"/>
        </w:rPr>
      </w:pPr>
      <w:r w:rsidRPr="007E73A2">
        <w:rPr>
          <w:i/>
          <w:iCs/>
          <w:lang w:val="en-US"/>
        </w:rPr>
        <w:t>Impairment of Tissue Repair Processes</w:t>
      </w:r>
    </w:p>
    <w:p w14:paraId="12600422" w14:textId="4F50B6EA" w:rsidR="007E73A2" w:rsidRPr="007E73A2" w:rsidRDefault="007E73A2" w:rsidP="007E73A2">
      <w:pPr>
        <w:spacing w:line="360" w:lineRule="auto"/>
        <w:jc w:val="both"/>
        <w:rPr>
          <w:lang w:val="en-US"/>
        </w:rPr>
      </w:pPr>
      <w:r w:rsidRPr="007E73A2">
        <w:rPr>
          <w:lang w:val="en-US"/>
        </w:rPr>
        <w:t>Furthermore,</w:t>
      </w:r>
      <w:r w:rsidR="003F0ABD">
        <w:rPr>
          <w:lang w:val="en-US"/>
        </w:rPr>
        <w:t xml:space="preserve"> </w:t>
      </w:r>
      <w:r w:rsidRPr="003F0ABD">
        <w:rPr>
          <w:i/>
          <w:iCs/>
          <w:lang w:val="en-US"/>
        </w:rPr>
        <w:t>F. nucleatum</w:t>
      </w:r>
      <w:r w:rsidR="00D215E8">
        <w:rPr>
          <w:lang w:val="en-US"/>
        </w:rPr>
        <w:t xml:space="preserve"> </w:t>
      </w:r>
      <w:r w:rsidRPr="007E73A2">
        <w:rPr>
          <w:lang w:val="en-US"/>
        </w:rPr>
        <w:t>impairs tissue restoration processes by activating the protein kinase B (Akt) and NF</w:t>
      </w:r>
      <w:r w:rsidRPr="007E73A2">
        <w:rPr>
          <w:lang w:val="en-US"/>
        </w:rPr>
        <w:noBreakHyphen/>
        <w:t>κB signaling cascades, leading to enhanced fibroblast apoptosis, elevated ROS biosynthesis, and secretion of pro</w:t>
      </w:r>
      <w:r w:rsidRPr="007E73A2">
        <w:rPr>
          <w:lang w:val="en-US"/>
        </w:rPr>
        <w:noBreakHyphen/>
        <w:t>inflammatory mediators, all of which collectively compromise tissue repair capacity and perpetuate inflammation.</w:t>
      </w:r>
    </w:p>
    <w:p w14:paraId="088B3AF6" w14:textId="77777777" w:rsidR="007E73A2" w:rsidRPr="009E0533" w:rsidRDefault="007E73A2" w:rsidP="007E73A2">
      <w:pPr>
        <w:spacing w:line="360" w:lineRule="auto"/>
        <w:jc w:val="both"/>
        <w:rPr>
          <w:i/>
          <w:iCs/>
          <w:lang w:val="en-US"/>
        </w:rPr>
      </w:pPr>
      <w:r w:rsidRPr="009E0533">
        <w:rPr>
          <w:i/>
          <w:iCs/>
          <w:lang w:val="en-US"/>
        </w:rPr>
        <w:t>Outer Membrane Vesicles and Inter-Cellular Communication</w:t>
      </w:r>
    </w:p>
    <w:p w14:paraId="6A013A1A" w14:textId="19B1040C" w:rsidR="001A565D" w:rsidRPr="00543EDA" w:rsidRDefault="007E73A2" w:rsidP="0090135E">
      <w:pPr>
        <w:spacing w:line="360" w:lineRule="auto"/>
        <w:jc w:val="both"/>
        <w:rPr>
          <w:lang w:val="en-US"/>
        </w:rPr>
      </w:pPr>
      <w:r w:rsidRPr="007E73A2">
        <w:rPr>
          <w:lang w:val="en-US"/>
        </w:rPr>
        <w:t>Like other Gram</w:t>
      </w:r>
      <w:r w:rsidRPr="007E73A2">
        <w:rPr>
          <w:lang w:val="en-US"/>
        </w:rPr>
        <w:noBreakHyphen/>
        <w:t>negative organisms,</w:t>
      </w:r>
      <w:r w:rsidR="003F0ABD">
        <w:rPr>
          <w:lang w:val="en-US"/>
        </w:rPr>
        <w:t xml:space="preserve"> </w:t>
      </w:r>
      <w:r w:rsidRPr="003F0ABD">
        <w:rPr>
          <w:i/>
          <w:iCs/>
          <w:lang w:val="en-US"/>
        </w:rPr>
        <w:t>F. nucleatum</w:t>
      </w:r>
      <w:r w:rsidR="003F0ABD">
        <w:rPr>
          <w:lang w:val="en-US"/>
        </w:rPr>
        <w:t xml:space="preserve"> </w:t>
      </w:r>
      <w:r w:rsidRPr="007E73A2">
        <w:rPr>
          <w:lang w:val="en-US"/>
        </w:rPr>
        <w:t>can release extracellular or outer membrane vesicles (OMVs) containing multiple bioactive molecules that participate in inter</w:t>
      </w:r>
      <w:r w:rsidRPr="007E73A2">
        <w:rPr>
          <w:lang w:val="en-US"/>
        </w:rPr>
        <w:noBreakHyphen/>
        <w:t>bacterial communication and inter</w:t>
      </w:r>
      <w:r w:rsidRPr="007E73A2">
        <w:rPr>
          <w:lang w:val="en-US"/>
        </w:rPr>
        <w:noBreakHyphen/>
        <w:t>species interactions with host cellular compartments. These vesicles function as important mediators of virulence factor delivery and immunomodulation</w:t>
      </w:r>
      <w:r w:rsidR="00B32383">
        <w:rPr>
          <w:rStyle w:val="Rimandonotadichiusura"/>
          <w:lang w:val="en-US"/>
        </w:rPr>
        <w:endnoteReference w:id="92"/>
      </w:r>
      <w:r w:rsidR="003F0ABD">
        <w:rPr>
          <w:lang w:val="en-US"/>
        </w:rPr>
        <w:t>.</w:t>
      </w:r>
    </w:p>
    <w:p w14:paraId="00A09FA1" w14:textId="1783697F" w:rsidR="00AF2AD3" w:rsidRPr="00290211" w:rsidRDefault="00134FD1" w:rsidP="0090135E">
      <w:pPr>
        <w:pStyle w:val="Titolo2"/>
        <w:spacing w:line="360" w:lineRule="auto"/>
        <w:rPr>
          <w:i/>
          <w:iCs/>
          <w:sz w:val="28"/>
          <w:szCs w:val="28"/>
          <w:lang w:val="en-US"/>
        </w:rPr>
      </w:pPr>
      <w:bookmarkStart w:id="10" w:name="_Toc219243274"/>
      <w:r w:rsidRPr="00290211">
        <w:rPr>
          <w:i/>
          <w:iCs/>
          <w:sz w:val="28"/>
          <w:szCs w:val="28"/>
          <w:lang w:val="en-US"/>
        </w:rPr>
        <w:lastRenderedPageBreak/>
        <w:t>1.1.</w:t>
      </w:r>
      <w:r w:rsidR="008124FE">
        <w:rPr>
          <w:i/>
          <w:iCs/>
          <w:sz w:val="28"/>
          <w:szCs w:val="28"/>
          <w:lang w:val="en-US"/>
        </w:rPr>
        <w:t>3</w:t>
      </w:r>
      <w:r w:rsidRPr="00290211">
        <w:rPr>
          <w:i/>
          <w:iCs/>
          <w:sz w:val="28"/>
          <w:szCs w:val="28"/>
          <w:lang w:val="en-US"/>
        </w:rPr>
        <w:t xml:space="preserve">.3 </w:t>
      </w:r>
      <w:r w:rsidR="00290211" w:rsidRPr="00290211">
        <w:rPr>
          <w:i/>
          <w:iCs/>
          <w:sz w:val="28"/>
          <w:szCs w:val="28"/>
          <w:lang w:val="en-US"/>
        </w:rPr>
        <w:t>Oral conditions and local pathogenicity</w:t>
      </w:r>
      <w:bookmarkEnd w:id="10"/>
    </w:p>
    <w:p w14:paraId="766EA46B" w14:textId="65E59F3E" w:rsidR="00022311" w:rsidRPr="004352F6" w:rsidRDefault="00022311" w:rsidP="0090135E">
      <w:pPr>
        <w:spacing w:line="360" w:lineRule="auto"/>
        <w:jc w:val="both"/>
        <w:rPr>
          <w:color w:val="000000" w:themeColor="text1"/>
          <w:lang w:val="en-US"/>
        </w:rPr>
      </w:pPr>
      <w:r w:rsidRPr="004352F6">
        <w:rPr>
          <w:color w:val="000000" w:themeColor="text1"/>
          <w:lang w:val="en-US"/>
        </w:rPr>
        <w:t>Fusobacterium nucleatum, a Gram-negative obligate anaerobe inhabiting the human oral cavity, represents both a commensal organism and a pathogenic agent depending on environmental and host factors. This bacterium functions as a linchpin within oral polymicrobial communities, facilitating direct interactions among diverse microbial taxa that colonize dental structures and epithelial tissues. The capacity of</w:t>
      </w:r>
      <w:r w:rsidR="003F0ABD">
        <w:rPr>
          <w:color w:val="000000" w:themeColor="text1"/>
          <w:lang w:val="en-US"/>
        </w:rPr>
        <w:t xml:space="preserve"> </w:t>
      </w:r>
      <w:r w:rsidRPr="005240E4">
        <w:rPr>
          <w:i/>
          <w:iCs/>
          <w:color w:val="000000" w:themeColor="text1"/>
          <w:lang w:val="en-US"/>
        </w:rPr>
        <w:t>F. nucleatum</w:t>
      </w:r>
      <w:r w:rsidR="003F0ABD">
        <w:rPr>
          <w:color w:val="000000" w:themeColor="text1"/>
          <w:lang w:val="en-US"/>
        </w:rPr>
        <w:t xml:space="preserve"> </w:t>
      </w:r>
      <w:r w:rsidRPr="004352F6">
        <w:rPr>
          <w:color w:val="000000" w:themeColor="text1"/>
          <w:lang w:val="en-US"/>
        </w:rPr>
        <w:t>to transition from a benign colonizer to an aggressive pathogen underscores its clinical significance in various oral disease processes. While</w:t>
      </w:r>
      <w:r w:rsidR="003F0ABD">
        <w:rPr>
          <w:color w:val="000000" w:themeColor="text1"/>
          <w:lang w:val="en-US"/>
        </w:rPr>
        <w:t xml:space="preserve"> </w:t>
      </w:r>
      <w:r w:rsidRPr="008A57F7">
        <w:rPr>
          <w:i/>
          <w:iCs/>
          <w:color w:val="000000" w:themeColor="text1"/>
          <w:lang w:val="en-US"/>
        </w:rPr>
        <w:t>F. nucleatum</w:t>
      </w:r>
      <w:r w:rsidR="003F0ABD">
        <w:rPr>
          <w:color w:val="000000" w:themeColor="text1"/>
          <w:lang w:val="en-US"/>
        </w:rPr>
        <w:t xml:space="preserve"> </w:t>
      </w:r>
      <w:r w:rsidRPr="004352F6">
        <w:rPr>
          <w:color w:val="000000" w:themeColor="text1"/>
          <w:lang w:val="en-US"/>
        </w:rPr>
        <w:t>is classically recognized as a periodontal pathogen that actively participates in the destruction and inflammatory remodeling of the tooth-supporting apparatus and periodontal tissues, its pathogenic repertoire extends beyond the parodontium to encompass additional oral microenvironments. The organism is implicated in the etiopathogenesis of oral malodor through volatile metabolite generation. Additionally,</w:t>
      </w:r>
      <w:r w:rsidR="003F0ABD">
        <w:rPr>
          <w:color w:val="000000" w:themeColor="text1"/>
          <w:lang w:val="en-US"/>
        </w:rPr>
        <w:t xml:space="preserve"> </w:t>
      </w:r>
      <w:r w:rsidRPr="003F0ABD">
        <w:rPr>
          <w:i/>
          <w:iCs/>
          <w:color w:val="000000" w:themeColor="text1"/>
          <w:lang w:val="en-US"/>
        </w:rPr>
        <w:t>F. nucleatum</w:t>
      </w:r>
      <w:r w:rsidR="003F0ABD">
        <w:rPr>
          <w:color w:val="000000" w:themeColor="text1"/>
          <w:lang w:val="en-US"/>
        </w:rPr>
        <w:t xml:space="preserve"> </w:t>
      </w:r>
      <w:r w:rsidRPr="004352F6">
        <w:rPr>
          <w:color w:val="000000" w:themeColor="text1"/>
          <w:lang w:val="en-US"/>
        </w:rPr>
        <w:t>participates significantly in endodontic infections affecting the dental pulp and periapical tissues. These diverse pathogenic mechanisms collectively demonstrate that</w:t>
      </w:r>
      <w:r w:rsidR="003F0ABD">
        <w:rPr>
          <w:color w:val="000000" w:themeColor="text1"/>
          <w:lang w:val="en-US"/>
        </w:rPr>
        <w:t xml:space="preserve"> </w:t>
      </w:r>
      <w:r w:rsidRPr="008A57F7">
        <w:rPr>
          <w:i/>
          <w:iCs/>
          <w:color w:val="000000" w:themeColor="text1"/>
          <w:lang w:val="en-US"/>
        </w:rPr>
        <w:t>F.</w:t>
      </w:r>
      <w:r w:rsidRPr="003F0ABD">
        <w:rPr>
          <w:i/>
          <w:iCs/>
          <w:color w:val="000000" w:themeColor="text1"/>
          <w:lang w:val="en-US"/>
        </w:rPr>
        <w:t xml:space="preserve"> nucleatum</w:t>
      </w:r>
      <w:r w:rsidR="003F0ABD" w:rsidRPr="003F0ABD">
        <w:rPr>
          <w:i/>
          <w:iCs/>
          <w:color w:val="000000" w:themeColor="text1"/>
          <w:lang w:val="en-US"/>
        </w:rPr>
        <w:t xml:space="preserve"> </w:t>
      </w:r>
      <w:r w:rsidRPr="004352F6">
        <w:rPr>
          <w:color w:val="000000" w:themeColor="text1"/>
          <w:lang w:val="en-US"/>
        </w:rPr>
        <w:t>represents a versatile and clinically consequential member of the oral bacterial microbiota</w:t>
      </w:r>
      <w:r w:rsidR="00C87459">
        <w:rPr>
          <w:rStyle w:val="Rimandonotadichiusura"/>
          <w:color w:val="000000" w:themeColor="text1"/>
          <w:lang w:val="en-US"/>
        </w:rPr>
        <w:endnoteReference w:id="93"/>
      </w:r>
      <w:r w:rsidR="00C87459">
        <w:rPr>
          <w:rStyle w:val="Rimandonotadichiusura"/>
          <w:color w:val="000000" w:themeColor="text1"/>
          <w:lang w:val="en-US"/>
        </w:rPr>
        <w:endnoteReference w:id="94"/>
      </w:r>
      <w:r w:rsidRPr="004352F6">
        <w:rPr>
          <w:color w:val="000000" w:themeColor="text1"/>
          <w:lang w:val="en-US"/>
        </w:rPr>
        <w:t>.</w:t>
      </w:r>
    </w:p>
    <w:p w14:paraId="03E3AAA8" w14:textId="77777777" w:rsidR="00022311" w:rsidRPr="0090135E" w:rsidRDefault="00022311" w:rsidP="00C153F6">
      <w:pPr>
        <w:spacing w:line="360" w:lineRule="auto"/>
        <w:jc w:val="both"/>
        <w:rPr>
          <w:i/>
          <w:iCs/>
          <w:color w:val="000000" w:themeColor="text1"/>
          <w:lang w:val="en-US"/>
        </w:rPr>
      </w:pPr>
      <w:r w:rsidRPr="0090135E">
        <w:rPr>
          <w:i/>
          <w:iCs/>
          <w:color w:val="000000" w:themeColor="text1"/>
          <w:lang w:val="en-US"/>
        </w:rPr>
        <w:t>Halitosis and Volatile Sulfur Compound Production</w:t>
      </w:r>
    </w:p>
    <w:p w14:paraId="5016959E" w14:textId="351B057C" w:rsidR="00022311" w:rsidRPr="004352F6" w:rsidRDefault="00022311" w:rsidP="00C153F6">
      <w:pPr>
        <w:spacing w:line="360" w:lineRule="auto"/>
        <w:jc w:val="both"/>
        <w:rPr>
          <w:color w:val="000000" w:themeColor="text1"/>
          <w:lang w:val="en-US"/>
        </w:rPr>
      </w:pPr>
      <w:r w:rsidRPr="008A57F7">
        <w:rPr>
          <w:i/>
          <w:iCs/>
          <w:color w:val="000000" w:themeColor="text1"/>
          <w:lang w:val="en-US"/>
        </w:rPr>
        <w:t>F. nucleatum</w:t>
      </w:r>
      <w:r w:rsidR="008A57F7">
        <w:rPr>
          <w:color w:val="000000" w:themeColor="text1"/>
          <w:lang w:val="en-US"/>
        </w:rPr>
        <w:t xml:space="preserve"> </w:t>
      </w:r>
      <w:r w:rsidRPr="004352F6">
        <w:rPr>
          <w:color w:val="000000" w:themeColor="text1"/>
          <w:lang w:val="en-US"/>
        </w:rPr>
        <w:t>plays a primary etiological role in the development of oral malodor (halitosis), particularly through its capacity to generate volatile sulfur-containing compounds. This bacterium exhibits preferential colonization of the dorsal and posterior regions of the tongue, where anaerobic microenvironments favor its proliferation and metabolic activity. The volatile sulfur compounds synthesized by</w:t>
      </w:r>
      <w:r w:rsidR="0090135E">
        <w:rPr>
          <w:color w:val="000000" w:themeColor="text1"/>
          <w:lang w:val="en-US"/>
        </w:rPr>
        <w:t xml:space="preserve"> </w:t>
      </w:r>
      <w:r w:rsidRPr="004352F6">
        <w:rPr>
          <w:color w:val="000000" w:themeColor="text1"/>
          <w:lang w:val="en-US"/>
        </w:rPr>
        <w:t>F. nucleatum, particularly hydrogen sulfide and thiomethane derivatives, represent the predominant intraoral sources of foul-smelling breath. In comparative in vitro investigations,</w:t>
      </w:r>
      <w:r w:rsidR="0090135E">
        <w:rPr>
          <w:color w:val="000000" w:themeColor="text1"/>
          <w:lang w:val="en-US"/>
        </w:rPr>
        <w:t xml:space="preserve"> </w:t>
      </w:r>
      <w:r w:rsidRPr="005240E4">
        <w:rPr>
          <w:i/>
          <w:iCs/>
          <w:color w:val="000000" w:themeColor="text1"/>
          <w:lang w:val="en-US"/>
        </w:rPr>
        <w:t>F. nucleatum</w:t>
      </w:r>
      <w:r w:rsidR="0090135E">
        <w:rPr>
          <w:color w:val="000000" w:themeColor="text1"/>
          <w:lang w:val="en-US"/>
        </w:rPr>
        <w:t xml:space="preserve"> </w:t>
      </w:r>
      <w:r w:rsidRPr="004352F6">
        <w:rPr>
          <w:color w:val="000000" w:themeColor="text1"/>
          <w:lang w:val="en-US"/>
        </w:rPr>
        <w:t>demonstrated capacity to generate approximately 450 parts per billion of volatile sulfur compounds within 6 hours of anaerobic cultivation. When cultivated in polymicrobial assemblages with other periodontal pathogens such as</w:t>
      </w:r>
      <w:r w:rsidR="0090135E">
        <w:rPr>
          <w:color w:val="000000" w:themeColor="text1"/>
          <w:lang w:val="en-US"/>
        </w:rPr>
        <w:t xml:space="preserve"> </w:t>
      </w:r>
      <w:r w:rsidRPr="00100E57">
        <w:rPr>
          <w:i/>
          <w:iCs/>
          <w:color w:val="000000" w:themeColor="text1"/>
          <w:lang w:val="en-US"/>
        </w:rPr>
        <w:t>Porphyromonas gingivalis</w:t>
      </w:r>
      <w:r w:rsidR="0090135E">
        <w:rPr>
          <w:color w:val="000000" w:themeColor="text1"/>
          <w:lang w:val="en-US"/>
        </w:rPr>
        <w:t xml:space="preserve"> </w:t>
      </w:r>
      <w:r w:rsidRPr="004352F6">
        <w:rPr>
          <w:color w:val="000000" w:themeColor="text1"/>
          <w:lang w:val="en-US"/>
        </w:rPr>
        <w:t>and</w:t>
      </w:r>
      <w:r w:rsidR="008A57F7">
        <w:rPr>
          <w:color w:val="000000" w:themeColor="text1"/>
          <w:lang w:val="en-US"/>
        </w:rPr>
        <w:t xml:space="preserve"> </w:t>
      </w:r>
      <w:r w:rsidRPr="00100E57">
        <w:rPr>
          <w:i/>
          <w:iCs/>
          <w:color w:val="000000" w:themeColor="text1"/>
          <w:lang w:val="en-US"/>
        </w:rPr>
        <w:t>Prevotella intermedia</w:t>
      </w:r>
      <w:r w:rsidRPr="004352F6">
        <w:rPr>
          <w:color w:val="000000" w:themeColor="text1"/>
          <w:lang w:val="en-US"/>
        </w:rPr>
        <w:t>,</w:t>
      </w:r>
      <w:r w:rsidR="0090135E">
        <w:rPr>
          <w:color w:val="000000" w:themeColor="text1"/>
          <w:lang w:val="en-US"/>
        </w:rPr>
        <w:t xml:space="preserve"> </w:t>
      </w:r>
      <w:r w:rsidRPr="005240E4">
        <w:rPr>
          <w:i/>
          <w:iCs/>
          <w:color w:val="000000" w:themeColor="text1"/>
          <w:lang w:val="en-US"/>
        </w:rPr>
        <w:t>F. nucleatum</w:t>
      </w:r>
      <w:r w:rsidR="0090135E">
        <w:rPr>
          <w:color w:val="000000" w:themeColor="text1"/>
          <w:lang w:val="en-US"/>
        </w:rPr>
        <w:t xml:space="preserve"> </w:t>
      </w:r>
      <w:r w:rsidRPr="004352F6">
        <w:rPr>
          <w:color w:val="000000" w:themeColor="text1"/>
          <w:lang w:val="en-US"/>
        </w:rPr>
        <w:t>exhibits synergistic enhancement of volatile sulfur compound biosynthesis. Maximal volatile compound values are achieved within 30 minutes of co-culture. The production of these odoriferous metabolites is inextricably linked to the bacterium's proteolytic and fermentative metabolic pathways</w:t>
      </w:r>
      <w:r w:rsidR="001701A4">
        <w:rPr>
          <w:rStyle w:val="Rimandonotadichiusura"/>
          <w:color w:val="000000" w:themeColor="text1"/>
          <w:lang w:val="en-US"/>
        </w:rPr>
        <w:endnoteReference w:id="95"/>
      </w:r>
      <w:r w:rsidRPr="004352F6">
        <w:rPr>
          <w:color w:val="000000" w:themeColor="text1"/>
          <w:lang w:val="en-US"/>
        </w:rPr>
        <w:t>.</w:t>
      </w:r>
      <w:r w:rsidR="00C153F6" w:rsidRPr="004352F6">
        <w:rPr>
          <w:color w:val="000000" w:themeColor="text1"/>
          <w:lang w:val="en-US"/>
        </w:rPr>
        <w:t xml:space="preserve"> </w:t>
      </w:r>
    </w:p>
    <w:p w14:paraId="03768DF3" w14:textId="77777777" w:rsidR="00022311" w:rsidRPr="0090135E" w:rsidRDefault="00022311" w:rsidP="00C153F6">
      <w:pPr>
        <w:spacing w:line="360" w:lineRule="auto"/>
        <w:jc w:val="both"/>
        <w:rPr>
          <w:i/>
          <w:iCs/>
          <w:color w:val="000000" w:themeColor="text1"/>
          <w:lang w:val="en-US"/>
        </w:rPr>
      </w:pPr>
      <w:r w:rsidRPr="0090135E">
        <w:rPr>
          <w:i/>
          <w:iCs/>
          <w:color w:val="000000" w:themeColor="text1"/>
          <w:lang w:val="en-US"/>
        </w:rPr>
        <w:lastRenderedPageBreak/>
        <w:t>Endodontic Involvement and Pulp Infection</w:t>
      </w:r>
    </w:p>
    <w:p w14:paraId="76304DAF" w14:textId="2FC4EF19" w:rsidR="00022311" w:rsidRPr="004352F6" w:rsidRDefault="00022311" w:rsidP="00C153F6">
      <w:pPr>
        <w:spacing w:line="360" w:lineRule="auto"/>
        <w:jc w:val="both"/>
        <w:rPr>
          <w:color w:val="000000" w:themeColor="text1"/>
          <w:lang w:val="en-US"/>
        </w:rPr>
      </w:pPr>
      <w:r w:rsidRPr="005240E4">
        <w:rPr>
          <w:i/>
          <w:iCs/>
          <w:color w:val="000000" w:themeColor="text1"/>
          <w:lang w:val="en-US"/>
        </w:rPr>
        <w:t>F. nucleatum</w:t>
      </w:r>
      <w:r w:rsidR="0090135E">
        <w:rPr>
          <w:color w:val="000000" w:themeColor="text1"/>
          <w:lang w:val="en-US"/>
        </w:rPr>
        <w:t xml:space="preserve"> </w:t>
      </w:r>
      <w:r w:rsidRPr="004352F6">
        <w:rPr>
          <w:color w:val="000000" w:themeColor="text1"/>
          <w:lang w:val="en-US"/>
        </w:rPr>
        <w:t>is frequently recovered from infected endodontic tissues, including scenarios involving pulpal necrosis and apical inflammatory lesions. The bacterium's ability to penetrate traumatically damaged or caries-compromised pulp tissue permits establishment of infection within the protected root canal system. Once established within the dental pulp,</w:t>
      </w:r>
      <w:r w:rsidR="0090135E">
        <w:rPr>
          <w:color w:val="000000" w:themeColor="text1"/>
          <w:lang w:val="en-US"/>
        </w:rPr>
        <w:t xml:space="preserve"> </w:t>
      </w:r>
      <w:r w:rsidRPr="005240E4">
        <w:rPr>
          <w:i/>
          <w:iCs/>
          <w:color w:val="000000" w:themeColor="text1"/>
          <w:lang w:val="en-US"/>
        </w:rPr>
        <w:t>F. nucleatum</w:t>
      </w:r>
      <w:r w:rsidR="0090135E">
        <w:rPr>
          <w:color w:val="000000" w:themeColor="text1"/>
          <w:lang w:val="en-US"/>
        </w:rPr>
        <w:t xml:space="preserve"> </w:t>
      </w:r>
      <w:r w:rsidRPr="004352F6">
        <w:rPr>
          <w:color w:val="000000" w:themeColor="text1"/>
          <w:lang w:val="en-US"/>
        </w:rPr>
        <w:t>activates toll-like receptors (TLR2 and TLR4) expressed on odontoblasts and pulp-resident immune cells. This activation triggers the nuclear factor kappa-B (NF-</w:t>
      </w:r>
      <w:r w:rsidRPr="00022311">
        <w:rPr>
          <w:color w:val="000000" w:themeColor="text1"/>
        </w:rPr>
        <w:t>κ</w:t>
      </w:r>
      <w:r w:rsidRPr="004352F6">
        <w:rPr>
          <w:color w:val="000000" w:themeColor="text1"/>
          <w:lang w:val="en-US"/>
        </w:rPr>
        <w:t>B) transcription pathway. This signaling cascade results in the enhanced synthesis of pro-inflammatory mediators including TNF-</w:t>
      </w:r>
      <w:r w:rsidRPr="00022311">
        <w:rPr>
          <w:color w:val="000000" w:themeColor="text1"/>
        </w:rPr>
        <w:t>α</w:t>
      </w:r>
      <w:r w:rsidRPr="004352F6">
        <w:rPr>
          <w:color w:val="000000" w:themeColor="text1"/>
          <w:lang w:val="en-US"/>
        </w:rPr>
        <w:t>, IL-8, IL-1</w:t>
      </w:r>
      <w:r w:rsidRPr="00022311">
        <w:rPr>
          <w:color w:val="000000" w:themeColor="text1"/>
        </w:rPr>
        <w:t>β</w:t>
      </w:r>
      <w:r w:rsidRPr="004352F6">
        <w:rPr>
          <w:color w:val="000000" w:themeColor="text1"/>
          <w:lang w:val="en-US"/>
        </w:rPr>
        <w:t>, and IL-6 by infected pulp tissues. The bacterium's serine proteases and lipopolysaccharides further amplify the inflammatory microenvironment. These amplified inflammatory conditions create situations conducive to pulpal necrosis and periapical pathology. Clinical investigations examining emergency endodontic presentations revealed that</w:t>
      </w:r>
      <w:r w:rsidR="00A3184E">
        <w:rPr>
          <w:color w:val="000000" w:themeColor="text1"/>
          <w:lang w:val="en-US"/>
        </w:rPr>
        <w:t xml:space="preserve"> </w:t>
      </w:r>
      <w:r w:rsidRPr="00A3184E">
        <w:rPr>
          <w:i/>
          <w:iCs/>
          <w:color w:val="000000" w:themeColor="text1"/>
          <w:lang w:val="en-US"/>
        </w:rPr>
        <w:t>F. nucleatum</w:t>
      </w:r>
      <w:r w:rsidR="008A57F7">
        <w:rPr>
          <w:color w:val="000000" w:themeColor="text1"/>
          <w:lang w:val="en-US"/>
        </w:rPr>
        <w:t xml:space="preserve"> </w:t>
      </w:r>
      <w:r w:rsidRPr="004352F6">
        <w:rPr>
          <w:color w:val="000000" w:themeColor="text1"/>
          <w:lang w:val="en-US"/>
        </w:rPr>
        <w:t>was isolated exclusively from teeth manifesting severe interappointment pain (Visual Analogue Scale ≥6). Concomitant clinical swelling and suppurative exudate were present within the root canals. In contrast, teeth with lower pain severity scores demonstrated variable bacterial recovery, but notably lacked</w:t>
      </w:r>
      <w:r w:rsidR="00A3184E">
        <w:rPr>
          <w:color w:val="000000" w:themeColor="text1"/>
          <w:lang w:val="en-US"/>
        </w:rPr>
        <w:t xml:space="preserve"> </w:t>
      </w:r>
      <w:r w:rsidRPr="00A3184E">
        <w:rPr>
          <w:i/>
          <w:iCs/>
          <w:color w:val="000000" w:themeColor="text1"/>
          <w:lang w:val="en-US"/>
        </w:rPr>
        <w:t>F. nucleatum</w:t>
      </w:r>
      <w:r w:rsidRPr="004352F6">
        <w:rPr>
          <w:color w:val="000000" w:themeColor="text1"/>
          <w:lang w:val="en-US"/>
        </w:rPr>
        <w:t>. These findings establish a strong epidemiological association between</w:t>
      </w:r>
      <w:r w:rsidR="00A3184E">
        <w:rPr>
          <w:color w:val="000000" w:themeColor="text1"/>
          <w:lang w:val="en-US"/>
        </w:rPr>
        <w:t xml:space="preserve"> </w:t>
      </w:r>
      <w:r w:rsidRPr="00A3184E">
        <w:rPr>
          <w:i/>
          <w:iCs/>
          <w:color w:val="000000" w:themeColor="text1"/>
          <w:lang w:val="en-US"/>
        </w:rPr>
        <w:t>F. nucleatum</w:t>
      </w:r>
      <w:r w:rsidR="00A3184E">
        <w:rPr>
          <w:color w:val="000000" w:themeColor="text1"/>
          <w:lang w:val="en-US"/>
        </w:rPr>
        <w:t xml:space="preserve"> </w:t>
      </w:r>
      <w:r w:rsidRPr="004352F6">
        <w:rPr>
          <w:color w:val="000000" w:themeColor="text1"/>
          <w:lang w:val="en-US"/>
        </w:rPr>
        <w:t>presence and the severity of acute endodontic inflammatory episodes</w:t>
      </w:r>
      <w:r w:rsidR="00630DC0">
        <w:rPr>
          <w:rStyle w:val="Rimandonotadichiusura"/>
          <w:color w:val="000000" w:themeColor="text1"/>
          <w:lang w:val="en-US"/>
        </w:rPr>
        <w:endnoteReference w:id="96"/>
      </w:r>
      <w:r w:rsidRPr="004352F6">
        <w:rPr>
          <w:color w:val="000000" w:themeColor="text1"/>
          <w:lang w:val="en-US"/>
        </w:rPr>
        <w:t>.</w:t>
      </w:r>
    </w:p>
    <w:p w14:paraId="70EBB552" w14:textId="77777777" w:rsidR="00022311" w:rsidRPr="00DE5BF5" w:rsidRDefault="00022311" w:rsidP="00C153F6">
      <w:pPr>
        <w:spacing w:line="360" w:lineRule="auto"/>
        <w:jc w:val="both"/>
        <w:rPr>
          <w:i/>
          <w:iCs/>
          <w:color w:val="000000" w:themeColor="text1"/>
          <w:lang w:val="en-US"/>
        </w:rPr>
      </w:pPr>
      <w:r w:rsidRPr="00DE5BF5">
        <w:rPr>
          <w:i/>
          <w:iCs/>
          <w:color w:val="000000" w:themeColor="text1"/>
          <w:lang w:val="en-US"/>
        </w:rPr>
        <w:t>Dissemination and Systemic Access</w:t>
      </w:r>
    </w:p>
    <w:p w14:paraId="1D97F7BD" w14:textId="3426EBFE" w:rsidR="00022311" w:rsidRDefault="00022311" w:rsidP="00C153F6">
      <w:pPr>
        <w:spacing w:line="360" w:lineRule="auto"/>
        <w:jc w:val="both"/>
        <w:rPr>
          <w:color w:val="000000" w:themeColor="text1"/>
          <w:lang w:val="en-US"/>
        </w:rPr>
      </w:pPr>
      <w:r w:rsidRPr="004352F6">
        <w:rPr>
          <w:color w:val="000000" w:themeColor="text1"/>
          <w:lang w:val="en-US"/>
        </w:rPr>
        <w:t>Infections confined to periodontal or endodontic compartments create anatomical pathways permitting</w:t>
      </w:r>
      <w:r w:rsidR="00A3184E">
        <w:rPr>
          <w:color w:val="000000" w:themeColor="text1"/>
          <w:lang w:val="en-US"/>
        </w:rPr>
        <w:t xml:space="preserve"> </w:t>
      </w:r>
      <w:r w:rsidRPr="00A3184E">
        <w:rPr>
          <w:i/>
          <w:iCs/>
          <w:color w:val="000000" w:themeColor="text1"/>
          <w:lang w:val="en-US"/>
        </w:rPr>
        <w:t>F. nucleatum</w:t>
      </w:r>
      <w:r w:rsidR="00A3184E">
        <w:rPr>
          <w:color w:val="000000" w:themeColor="text1"/>
          <w:lang w:val="en-US"/>
        </w:rPr>
        <w:t xml:space="preserve"> </w:t>
      </w:r>
      <w:r w:rsidRPr="004352F6">
        <w:rPr>
          <w:color w:val="000000" w:themeColor="text1"/>
          <w:lang w:val="en-US"/>
        </w:rPr>
        <w:t>translocation into the systemic circulation. This hematogenous route of bacterial access from oral reservoirs enables the organism to colonize distal anatomical sites. The translocation allows participation in the pathogenesis of extraoral disease processes</w:t>
      </w:r>
      <w:r w:rsidR="00686C11">
        <w:rPr>
          <w:color w:val="000000" w:themeColor="text1"/>
          <w:vertAlign w:val="superscript"/>
          <w:lang w:val="en-US"/>
        </w:rPr>
        <w:t>93</w:t>
      </w:r>
      <w:r w:rsidRPr="004352F6">
        <w:rPr>
          <w:color w:val="000000" w:themeColor="text1"/>
          <w:lang w:val="en-US"/>
        </w:rPr>
        <w:t>.</w:t>
      </w:r>
    </w:p>
    <w:p w14:paraId="2D750F9B" w14:textId="77777777" w:rsidR="00ED0C6E" w:rsidRPr="00FC5480" w:rsidRDefault="00ED0C6E" w:rsidP="00C153F6">
      <w:pPr>
        <w:spacing w:line="360" w:lineRule="auto"/>
        <w:jc w:val="both"/>
        <w:rPr>
          <w:i/>
          <w:iCs/>
          <w:color w:val="000000" w:themeColor="text1"/>
          <w:lang w:val="en-US"/>
        </w:rPr>
      </w:pPr>
    </w:p>
    <w:p w14:paraId="6D009FC3" w14:textId="7C060561" w:rsidR="00C153F6" w:rsidRPr="00FC352D" w:rsidRDefault="00134FD1" w:rsidP="00160D7E">
      <w:pPr>
        <w:pStyle w:val="Titolo2"/>
        <w:spacing w:line="360" w:lineRule="auto"/>
        <w:rPr>
          <w:rFonts w:eastAsiaTheme="minorEastAsia"/>
          <w:i/>
          <w:iCs/>
          <w:color w:val="auto"/>
          <w:sz w:val="28"/>
          <w:szCs w:val="28"/>
          <w:lang w:val="en-US"/>
        </w:rPr>
      </w:pPr>
      <w:bookmarkStart w:id="11" w:name="_Toc219243275"/>
      <w:r w:rsidRPr="00615C60">
        <w:rPr>
          <w:rFonts w:eastAsiaTheme="minorEastAsia"/>
          <w:i/>
          <w:iCs/>
          <w:sz w:val="28"/>
          <w:szCs w:val="28"/>
          <w:lang w:val="en-US"/>
        </w:rPr>
        <w:t>1.1.</w:t>
      </w:r>
      <w:r w:rsidR="008124FE">
        <w:rPr>
          <w:rFonts w:eastAsiaTheme="minorEastAsia"/>
          <w:i/>
          <w:iCs/>
          <w:sz w:val="28"/>
          <w:szCs w:val="28"/>
          <w:lang w:val="en-US"/>
        </w:rPr>
        <w:t>3</w:t>
      </w:r>
      <w:r w:rsidRPr="00615C60">
        <w:rPr>
          <w:rFonts w:eastAsiaTheme="minorEastAsia"/>
          <w:i/>
          <w:iCs/>
          <w:sz w:val="28"/>
          <w:szCs w:val="28"/>
          <w:lang w:val="en-US"/>
        </w:rPr>
        <w:t xml:space="preserve">.4 </w:t>
      </w:r>
      <w:r w:rsidR="00290211" w:rsidRPr="00615C60">
        <w:rPr>
          <w:rFonts w:eastAsiaTheme="minorEastAsia"/>
          <w:i/>
          <w:iCs/>
          <w:sz w:val="28"/>
          <w:szCs w:val="28"/>
          <w:lang w:val="en-US"/>
        </w:rPr>
        <w:t>Systemic invol</w:t>
      </w:r>
      <w:r w:rsidR="00615C60" w:rsidRPr="00615C60">
        <w:rPr>
          <w:rFonts w:eastAsiaTheme="minorEastAsia"/>
          <w:i/>
          <w:iCs/>
          <w:sz w:val="28"/>
          <w:szCs w:val="28"/>
          <w:lang w:val="en-US"/>
        </w:rPr>
        <w:t xml:space="preserve">vement and extraoral </w:t>
      </w:r>
      <w:r w:rsidR="00615C60" w:rsidRPr="00FC352D">
        <w:rPr>
          <w:rFonts w:eastAsiaTheme="minorEastAsia"/>
          <w:i/>
          <w:iCs/>
          <w:color w:val="auto"/>
          <w:sz w:val="28"/>
          <w:szCs w:val="28"/>
          <w:lang w:val="en-US"/>
        </w:rPr>
        <w:t>pathogenicity</w:t>
      </w:r>
      <w:bookmarkEnd w:id="11"/>
    </w:p>
    <w:p w14:paraId="4BFDE8C9" w14:textId="7D53E2C3" w:rsidR="00C153F6" w:rsidRPr="00C153F6" w:rsidRDefault="00C153F6" w:rsidP="00160D7E">
      <w:pPr>
        <w:autoSpaceDE w:val="0"/>
        <w:autoSpaceDN w:val="0"/>
        <w:adjustRightInd w:val="0"/>
        <w:spacing w:line="360" w:lineRule="auto"/>
        <w:jc w:val="both"/>
        <w:rPr>
          <w:rFonts w:eastAsiaTheme="minorEastAsia"/>
          <w:color w:val="000000" w:themeColor="text1"/>
          <w:lang w:val="en-US"/>
        </w:rPr>
      </w:pPr>
      <w:r w:rsidRPr="00FC352D">
        <w:rPr>
          <w:rFonts w:eastAsiaTheme="minorEastAsia"/>
          <w:i/>
          <w:iCs/>
          <w:lang w:val="en-US"/>
        </w:rPr>
        <w:t>Fusobacterium nucleatum</w:t>
      </w:r>
      <w:r w:rsidR="001A69DE" w:rsidRPr="00FC352D">
        <w:rPr>
          <w:rFonts w:eastAsiaTheme="minorEastAsia"/>
          <w:lang w:val="en-US"/>
        </w:rPr>
        <w:t xml:space="preserve"> </w:t>
      </w:r>
      <w:r w:rsidRPr="00FC352D">
        <w:rPr>
          <w:rFonts w:eastAsiaTheme="minorEastAsia"/>
          <w:lang w:val="en-US"/>
        </w:rPr>
        <w:t>transcends its traditional role as an oral</w:t>
      </w:r>
      <w:r w:rsidRPr="004352F6">
        <w:rPr>
          <w:rFonts w:eastAsiaTheme="minorEastAsia"/>
          <w:color w:val="000000" w:themeColor="text1"/>
          <w:lang w:val="en-US"/>
        </w:rPr>
        <w:t xml:space="preserve"> pathogen and functions as a systemic threat capable of disseminating through multiple organ systems via hematogenous translocation from periodontal and endodontic reservoirs. The bacterium has been implicated in colorectal malignancy, adverse pregnancy outcomes, reproductive dysfunction, and chronic inflammatory conditions affecting extraoral tissues. </w:t>
      </w:r>
      <w:r w:rsidRPr="00C153F6">
        <w:rPr>
          <w:rFonts w:eastAsiaTheme="minorEastAsia"/>
          <w:color w:val="000000" w:themeColor="text1"/>
          <w:lang w:val="en-US"/>
        </w:rPr>
        <w:t xml:space="preserve">This </w:t>
      </w:r>
      <w:r w:rsidRPr="00C153F6">
        <w:rPr>
          <w:rFonts w:eastAsiaTheme="minorEastAsia"/>
          <w:color w:val="000000" w:themeColor="text1"/>
          <w:lang w:val="en-US"/>
        </w:rPr>
        <w:lastRenderedPageBreak/>
        <w:t>capacity for systemic involvement elevates</w:t>
      </w:r>
      <w:r w:rsidR="001A69DE">
        <w:rPr>
          <w:rFonts w:eastAsiaTheme="minorEastAsia"/>
          <w:color w:val="000000" w:themeColor="text1"/>
          <w:lang w:val="en-US"/>
        </w:rPr>
        <w:t xml:space="preserve"> </w:t>
      </w:r>
      <w:r w:rsidRPr="001A69DE">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from a localized oral threat to a multisystem pathogenic agent of considerable clinical consequence</w:t>
      </w:r>
      <w:r w:rsidR="00A82110">
        <w:rPr>
          <w:rStyle w:val="Rimandonotadichiusura"/>
          <w:rFonts w:eastAsiaTheme="minorEastAsia"/>
          <w:color w:val="000000" w:themeColor="text1"/>
          <w:lang w:val="en-US"/>
        </w:rPr>
        <w:endnoteReference w:id="97"/>
      </w:r>
      <w:r w:rsidR="00A82110">
        <w:rPr>
          <w:rStyle w:val="Rimandonotadichiusura"/>
          <w:rFonts w:eastAsiaTheme="minorEastAsia"/>
          <w:color w:val="000000" w:themeColor="text1"/>
          <w:lang w:val="en-US"/>
        </w:rPr>
        <w:endnoteReference w:id="98"/>
      </w:r>
      <w:r w:rsidR="00A82110">
        <w:rPr>
          <w:rStyle w:val="Rimandonotadichiusura"/>
          <w:rFonts w:eastAsiaTheme="minorEastAsia"/>
          <w:color w:val="000000" w:themeColor="text1"/>
          <w:lang w:val="en-US"/>
        </w:rPr>
        <w:endnoteReference w:id="99"/>
      </w:r>
      <w:r w:rsidR="001A69DE">
        <w:rPr>
          <w:rFonts w:eastAsiaTheme="minorEastAsia"/>
          <w:color w:val="000000" w:themeColor="text1"/>
          <w:lang w:val="en-US"/>
        </w:rPr>
        <w:t>.</w:t>
      </w:r>
    </w:p>
    <w:p w14:paraId="66D844E7" w14:textId="77777777" w:rsidR="00C153F6" w:rsidRPr="00160D7E" w:rsidRDefault="00C153F6" w:rsidP="00C153F6">
      <w:pPr>
        <w:autoSpaceDE w:val="0"/>
        <w:autoSpaceDN w:val="0"/>
        <w:adjustRightInd w:val="0"/>
        <w:spacing w:line="360" w:lineRule="auto"/>
        <w:jc w:val="both"/>
        <w:rPr>
          <w:rFonts w:eastAsiaTheme="minorEastAsia"/>
          <w:i/>
          <w:iCs/>
          <w:color w:val="000000" w:themeColor="text1"/>
          <w:lang w:val="en-US"/>
        </w:rPr>
      </w:pPr>
      <w:r w:rsidRPr="00160D7E">
        <w:rPr>
          <w:rFonts w:eastAsiaTheme="minorEastAsia"/>
          <w:i/>
          <w:iCs/>
          <w:color w:val="000000" w:themeColor="text1"/>
          <w:lang w:val="en-US"/>
        </w:rPr>
        <w:t>Colorectal Cancer and Gastrointestinal Malignancy</w:t>
      </w:r>
    </w:p>
    <w:p w14:paraId="11D8429D" w14:textId="6BA259B8" w:rsidR="00C153F6" w:rsidRPr="00C153F6" w:rsidRDefault="00C153F6" w:rsidP="00C153F6">
      <w:pPr>
        <w:autoSpaceDE w:val="0"/>
        <w:autoSpaceDN w:val="0"/>
        <w:adjustRightInd w:val="0"/>
        <w:spacing w:line="360" w:lineRule="auto"/>
        <w:jc w:val="both"/>
        <w:rPr>
          <w:rFonts w:eastAsiaTheme="minorEastAsia"/>
          <w:color w:val="000000" w:themeColor="text1"/>
          <w:lang w:val="en-US"/>
        </w:rPr>
      </w:pPr>
      <w:r w:rsidRPr="00C153F6">
        <w:rPr>
          <w:rFonts w:eastAsiaTheme="minorEastAsia"/>
          <w:color w:val="000000" w:themeColor="text1"/>
          <w:lang w:val="en-US"/>
        </w:rPr>
        <w:t>Individuals with colorectal cancer (CRC) demonstrate significantly elevated concentrations of</w:t>
      </w:r>
      <w:r w:rsidR="001A69DE">
        <w:rPr>
          <w:rFonts w:eastAsiaTheme="minorEastAsia"/>
          <w:color w:val="000000" w:themeColor="text1"/>
          <w:lang w:val="en-US"/>
        </w:rPr>
        <w:t xml:space="preserve"> </w:t>
      </w:r>
      <w:r w:rsidRPr="001A69DE">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within neoplastic tissues relative to normal colonic mucosa. The bacterial strains isolated from cancerous lesions are genetically identical to those from the oral cavity, suggesting hematogenous transmission from the periodontal compartment to the colorectal tract.</w:t>
      </w:r>
      <w:r w:rsidR="001A69DE">
        <w:rPr>
          <w:rFonts w:eastAsiaTheme="minorEastAsia"/>
          <w:color w:val="000000" w:themeColor="text1"/>
          <w:lang w:val="en-US"/>
        </w:rPr>
        <w:t xml:space="preserve"> </w:t>
      </w:r>
      <w:r w:rsidRPr="001A69DE">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exerts oncogenic effects through the FadA adhesin, which activates the Wnt/</w:t>
      </w:r>
      <w:r w:rsidRPr="00C153F6">
        <w:rPr>
          <w:rFonts w:eastAsiaTheme="minorEastAsia"/>
          <w:color w:val="000000" w:themeColor="text1"/>
        </w:rPr>
        <w:t>β</w:t>
      </w:r>
      <w:r w:rsidRPr="00C153F6">
        <w:rPr>
          <w:rFonts w:eastAsiaTheme="minorEastAsia"/>
          <w:color w:val="000000" w:themeColor="text1"/>
          <w:lang w:val="en-US"/>
        </w:rPr>
        <w:t>-catenin cascade, facilitating malignant transformation. The complementary Fap2 adhesin recognizes acetylgalactosamine residues overexpressed on tumor cell surfaces and binds to the inhibitory receptor TIGIT on natural killer cells, thereby suppressing antitumoral immune responses.</w:t>
      </w:r>
      <w:r w:rsidR="00FC6514">
        <w:rPr>
          <w:rFonts w:eastAsiaTheme="minorEastAsia"/>
          <w:color w:val="000000" w:themeColor="text1"/>
          <w:lang w:val="en-US"/>
        </w:rPr>
        <w:t xml:space="preserve"> </w:t>
      </w:r>
      <w:r w:rsidRPr="00FC6514">
        <w:rPr>
          <w:rFonts w:eastAsiaTheme="minorEastAsia"/>
          <w:i/>
          <w:iCs/>
          <w:color w:val="000000" w:themeColor="text1"/>
          <w:lang w:val="en-US"/>
        </w:rPr>
        <w:t>F</w:t>
      </w:r>
      <w:r w:rsidRPr="00C153F6">
        <w:rPr>
          <w:rFonts w:eastAsiaTheme="minorEastAsia"/>
          <w:color w:val="000000" w:themeColor="text1"/>
          <w:lang w:val="en-US"/>
        </w:rPr>
        <w:t xml:space="preserve">. </w:t>
      </w:r>
      <w:r w:rsidRPr="00FC6514">
        <w:rPr>
          <w:rFonts w:eastAsiaTheme="minorEastAsia"/>
          <w:i/>
          <w:iCs/>
          <w:color w:val="000000" w:themeColor="text1"/>
          <w:lang w:val="en-US"/>
        </w:rPr>
        <w:t>nucleatum</w:t>
      </w:r>
      <w:r w:rsidR="00FC6514">
        <w:rPr>
          <w:rFonts w:eastAsiaTheme="minorEastAsia"/>
          <w:color w:val="000000" w:themeColor="text1"/>
          <w:lang w:val="en-US"/>
        </w:rPr>
        <w:t xml:space="preserve"> </w:t>
      </w:r>
      <w:r w:rsidRPr="00C153F6">
        <w:rPr>
          <w:rFonts w:eastAsiaTheme="minorEastAsia"/>
          <w:color w:val="000000" w:themeColor="text1"/>
          <w:lang w:val="en-US"/>
        </w:rPr>
        <w:t>induces a pro-inflammatory state characterized by elevated TNF-</w:t>
      </w:r>
      <w:r w:rsidRPr="00C153F6">
        <w:rPr>
          <w:rFonts w:eastAsiaTheme="minorEastAsia"/>
          <w:color w:val="000000" w:themeColor="text1"/>
        </w:rPr>
        <w:t>α</w:t>
      </w:r>
      <w:r w:rsidRPr="00C153F6">
        <w:rPr>
          <w:rFonts w:eastAsiaTheme="minorEastAsia"/>
          <w:color w:val="000000" w:themeColor="text1"/>
          <w:lang w:val="en-US"/>
        </w:rPr>
        <w:t>, IL-1</w:t>
      </w:r>
      <w:r w:rsidRPr="00C153F6">
        <w:rPr>
          <w:rFonts w:eastAsiaTheme="minorEastAsia"/>
          <w:color w:val="000000" w:themeColor="text1"/>
        </w:rPr>
        <w:t>β</w:t>
      </w:r>
      <w:r w:rsidRPr="00C153F6">
        <w:rPr>
          <w:rFonts w:eastAsiaTheme="minorEastAsia"/>
          <w:color w:val="000000" w:themeColor="text1"/>
          <w:lang w:val="en-US"/>
        </w:rPr>
        <w:t>, and IL-6 production, while simultaneously regulating glycolytic metabolism to support tumor cell growth</w:t>
      </w:r>
      <w:r w:rsidR="00686C11">
        <w:rPr>
          <w:rFonts w:eastAsiaTheme="minorEastAsia"/>
          <w:color w:val="000000" w:themeColor="text1"/>
          <w:vertAlign w:val="superscript"/>
          <w:lang w:val="en-US"/>
        </w:rPr>
        <w:t>99</w:t>
      </w:r>
      <w:r w:rsidR="00A82110">
        <w:rPr>
          <w:rStyle w:val="Rimandonotadichiusura"/>
          <w:rFonts w:eastAsiaTheme="minorEastAsia"/>
          <w:color w:val="000000" w:themeColor="text1"/>
          <w:lang w:val="en-US"/>
        </w:rPr>
        <w:endnoteReference w:id="100"/>
      </w:r>
      <w:r w:rsidR="00053BFA">
        <w:rPr>
          <w:rFonts w:eastAsiaTheme="minorEastAsia"/>
          <w:color w:val="000000" w:themeColor="text1"/>
          <w:lang w:val="en-US"/>
        </w:rPr>
        <w:t>.</w:t>
      </w:r>
    </w:p>
    <w:p w14:paraId="30803BB5" w14:textId="77777777" w:rsidR="00C153F6" w:rsidRPr="00053BFA" w:rsidRDefault="00C153F6" w:rsidP="00C153F6">
      <w:pPr>
        <w:autoSpaceDE w:val="0"/>
        <w:autoSpaceDN w:val="0"/>
        <w:adjustRightInd w:val="0"/>
        <w:spacing w:line="360" w:lineRule="auto"/>
        <w:jc w:val="both"/>
        <w:rPr>
          <w:rFonts w:eastAsiaTheme="minorEastAsia"/>
          <w:i/>
          <w:iCs/>
          <w:color w:val="000000" w:themeColor="text1"/>
          <w:lang w:val="en-US"/>
        </w:rPr>
      </w:pPr>
      <w:r w:rsidRPr="00053BFA">
        <w:rPr>
          <w:rFonts w:eastAsiaTheme="minorEastAsia"/>
          <w:i/>
          <w:iCs/>
          <w:color w:val="000000" w:themeColor="text1"/>
          <w:lang w:val="en-US"/>
        </w:rPr>
        <w:t>Adverse Pregnancy Outcomes and Fetoplacental Infection</w:t>
      </w:r>
    </w:p>
    <w:p w14:paraId="427F4AD9" w14:textId="55A98FE3" w:rsidR="00C153F6" w:rsidRPr="00C153F6" w:rsidRDefault="00C153F6" w:rsidP="00C153F6">
      <w:pPr>
        <w:autoSpaceDE w:val="0"/>
        <w:autoSpaceDN w:val="0"/>
        <w:adjustRightInd w:val="0"/>
        <w:spacing w:line="360" w:lineRule="auto"/>
        <w:jc w:val="both"/>
        <w:rPr>
          <w:rFonts w:eastAsiaTheme="minorEastAsia"/>
          <w:color w:val="000000" w:themeColor="text1"/>
          <w:lang w:val="en-US"/>
        </w:rPr>
      </w:pPr>
      <w:r w:rsidRPr="00FC6514">
        <w:rPr>
          <w:rFonts w:eastAsiaTheme="minorEastAsia"/>
          <w:i/>
          <w:iCs/>
          <w:color w:val="000000" w:themeColor="text1"/>
          <w:lang w:val="en-US"/>
        </w:rPr>
        <w:t>Fusobacterium nucleatum</w:t>
      </w:r>
      <w:r w:rsidR="001A69DE">
        <w:rPr>
          <w:rFonts w:eastAsiaTheme="minorEastAsia"/>
          <w:color w:val="000000" w:themeColor="text1"/>
          <w:lang w:val="en-US"/>
        </w:rPr>
        <w:t xml:space="preserve"> </w:t>
      </w:r>
      <w:r w:rsidRPr="00C153F6">
        <w:rPr>
          <w:rFonts w:eastAsiaTheme="minorEastAsia"/>
          <w:color w:val="000000" w:themeColor="text1"/>
          <w:lang w:val="en-US"/>
        </w:rPr>
        <w:t>has been identified within placental tissues, fetal membranes, amniotic fluid, and fetal tissues in women experiencing preterm birth, intrauterine fetal demise, and neonatal sepsis. Bacterial strains recovered from the placenta and amniotic fluid demonstrate genetic concordance with</w:t>
      </w:r>
      <w:r w:rsidR="001A69DE">
        <w:rPr>
          <w:rFonts w:eastAsiaTheme="minorEastAsia"/>
          <w:color w:val="000000" w:themeColor="text1"/>
          <w:lang w:val="en-US"/>
        </w:rPr>
        <w:t xml:space="preserve"> </w:t>
      </w:r>
      <w:r w:rsidRPr="001A69DE">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strains residing in the maternal subgingival biofilm, providing compelling evidence that fetoplacental infection originates from the oral reservoir. In pregnant mouse models, hematogenous injection of</w:t>
      </w:r>
      <w:r w:rsidR="001A69DE">
        <w:rPr>
          <w:rFonts w:eastAsiaTheme="minorEastAsia"/>
          <w:color w:val="000000" w:themeColor="text1"/>
          <w:lang w:val="en-US"/>
        </w:rPr>
        <w:t xml:space="preserve"> </w:t>
      </w:r>
      <w:r w:rsidRPr="001A69DE">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resulted in fetal loss within 72 hours, with the bacterial infection remaining confined to the fetoplacental unit. The bacterium invades placental endothelial cells, penetrates the endothelial barrier, and establishes infection within decidual and placental tissues before accessing the amniotic fluid and fetal compartments.</w:t>
      </w:r>
      <w:r w:rsidR="001A69DE">
        <w:rPr>
          <w:rFonts w:eastAsiaTheme="minorEastAsia"/>
          <w:color w:val="000000" w:themeColor="text1"/>
          <w:lang w:val="en-US"/>
        </w:rPr>
        <w:t xml:space="preserve"> </w:t>
      </w:r>
      <w:r w:rsidRPr="00FC6514">
        <w:rPr>
          <w:rFonts w:eastAsiaTheme="minorEastAsia"/>
          <w:i/>
          <w:iCs/>
          <w:color w:val="000000" w:themeColor="text1"/>
          <w:lang w:val="en-US"/>
        </w:rPr>
        <w:t>F. nucleatum</w:t>
      </w:r>
      <w:r w:rsidR="001A69DE">
        <w:rPr>
          <w:rFonts w:eastAsiaTheme="minorEastAsia"/>
          <w:color w:val="000000" w:themeColor="text1"/>
          <w:lang w:val="en-US"/>
        </w:rPr>
        <w:t xml:space="preserve"> </w:t>
      </w:r>
      <w:r w:rsidRPr="00C153F6">
        <w:rPr>
          <w:rFonts w:eastAsiaTheme="minorEastAsia"/>
          <w:color w:val="000000" w:themeColor="text1"/>
          <w:lang w:val="en-US"/>
        </w:rPr>
        <w:t>infection activates toll-like receptor 4 (TLR4)-mediated placental inflammatory signaling, triggering the synthesis of pro-inflammatory cytokines that initiate uterine contractions and precipitate pregnancy loss</w:t>
      </w:r>
      <w:r w:rsidR="00A82110">
        <w:rPr>
          <w:rStyle w:val="Rimandonotadichiusura"/>
          <w:rFonts w:eastAsiaTheme="minorEastAsia"/>
          <w:color w:val="000000" w:themeColor="text1"/>
          <w:lang w:val="en-US"/>
        </w:rPr>
        <w:endnoteReference w:id="101"/>
      </w:r>
      <w:r w:rsidR="001A69DE">
        <w:rPr>
          <w:rFonts w:eastAsiaTheme="minorEastAsia"/>
          <w:color w:val="000000" w:themeColor="text1"/>
          <w:lang w:val="en-US"/>
        </w:rPr>
        <w:t>.</w:t>
      </w:r>
    </w:p>
    <w:p w14:paraId="2867343C" w14:textId="77777777" w:rsidR="00C153F6" w:rsidRPr="00053BFA" w:rsidRDefault="00C153F6" w:rsidP="00C153F6">
      <w:pPr>
        <w:autoSpaceDE w:val="0"/>
        <w:autoSpaceDN w:val="0"/>
        <w:adjustRightInd w:val="0"/>
        <w:spacing w:line="360" w:lineRule="auto"/>
        <w:jc w:val="both"/>
        <w:rPr>
          <w:rFonts w:eastAsiaTheme="minorEastAsia"/>
          <w:i/>
          <w:iCs/>
          <w:color w:val="000000" w:themeColor="text1"/>
          <w:lang w:val="en-US"/>
        </w:rPr>
      </w:pPr>
      <w:r w:rsidRPr="00053BFA">
        <w:rPr>
          <w:rFonts w:eastAsiaTheme="minorEastAsia"/>
          <w:i/>
          <w:iCs/>
          <w:color w:val="000000" w:themeColor="text1"/>
          <w:lang w:val="en-US"/>
        </w:rPr>
        <w:t>Endometriosis and Reproductive Microbiome Dysbiosis</w:t>
      </w:r>
    </w:p>
    <w:p w14:paraId="1A4BADA0" w14:textId="61524D7F" w:rsidR="00C153F6" w:rsidRPr="00C153F6" w:rsidRDefault="00C153F6" w:rsidP="00C153F6">
      <w:pPr>
        <w:autoSpaceDE w:val="0"/>
        <w:autoSpaceDN w:val="0"/>
        <w:adjustRightInd w:val="0"/>
        <w:spacing w:line="360" w:lineRule="auto"/>
        <w:jc w:val="both"/>
        <w:rPr>
          <w:rFonts w:eastAsiaTheme="minorEastAsia"/>
          <w:color w:val="000000" w:themeColor="text1"/>
          <w:lang w:val="en-US"/>
        </w:rPr>
      </w:pPr>
      <w:r w:rsidRPr="00C153F6">
        <w:rPr>
          <w:rFonts w:eastAsiaTheme="minorEastAsia"/>
          <w:color w:val="000000" w:themeColor="text1"/>
          <w:lang w:val="en-US"/>
        </w:rPr>
        <w:t xml:space="preserve">Approximately 64% of women with endometriosis </w:t>
      </w:r>
      <w:r w:rsidR="001A69DE">
        <w:rPr>
          <w:rFonts w:eastAsiaTheme="minorEastAsia"/>
          <w:color w:val="000000" w:themeColor="text1"/>
          <w:lang w:val="en-US"/>
        </w:rPr>
        <w:t xml:space="preserve">demonstrate </w:t>
      </w:r>
      <w:r w:rsidRPr="00C153F6">
        <w:rPr>
          <w:rFonts w:eastAsiaTheme="minorEastAsia"/>
          <w:color w:val="000000" w:themeColor="text1"/>
          <w:lang w:val="en-US"/>
        </w:rPr>
        <w:t>Fusobacterium</w:t>
      </w:r>
      <w:r w:rsidR="001A69DE">
        <w:rPr>
          <w:rFonts w:eastAsiaTheme="minorEastAsia"/>
          <w:color w:val="000000" w:themeColor="text1"/>
          <w:lang w:val="en-US"/>
        </w:rPr>
        <w:t xml:space="preserve"> </w:t>
      </w:r>
      <w:r w:rsidRPr="00C153F6">
        <w:rPr>
          <w:rFonts w:eastAsiaTheme="minorEastAsia"/>
          <w:color w:val="000000" w:themeColor="text1"/>
          <w:lang w:val="en-US"/>
        </w:rPr>
        <w:t xml:space="preserve">infiltration within eutopic endometrial tissue, compared with less than 10% of </w:t>
      </w:r>
      <w:r w:rsidRPr="00C153F6">
        <w:rPr>
          <w:rFonts w:eastAsiaTheme="minorEastAsia"/>
          <w:color w:val="000000" w:themeColor="text1"/>
          <w:lang w:val="en-US"/>
        </w:rPr>
        <w:lastRenderedPageBreak/>
        <w:t>asymptomatic control women without endometriosis. Bacterial infection activates transforming growth factor-</w:t>
      </w:r>
      <w:r w:rsidRPr="00C153F6">
        <w:rPr>
          <w:rFonts w:eastAsiaTheme="minorEastAsia"/>
          <w:color w:val="000000" w:themeColor="text1"/>
        </w:rPr>
        <w:t>β</w:t>
      </w:r>
      <w:r w:rsidRPr="00C153F6">
        <w:rPr>
          <w:rFonts w:eastAsiaTheme="minorEastAsia"/>
          <w:color w:val="000000" w:themeColor="text1"/>
          <w:lang w:val="en-US"/>
        </w:rPr>
        <w:t xml:space="preserve"> (TGF-</w:t>
      </w:r>
      <w:r w:rsidRPr="00C153F6">
        <w:rPr>
          <w:rFonts w:eastAsiaTheme="minorEastAsia"/>
          <w:color w:val="000000" w:themeColor="text1"/>
        </w:rPr>
        <w:t>β</w:t>
      </w:r>
      <w:r w:rsidRPr="00C153F6">
        <w:rPr>
          <w:rFonts w:eastAsiaTheme="minorEastAsia"/>
          <w:color w:val="000000" w:themeColor="text1"/>
          <w:lang w:val="en-US"/>
        </w:rPr>
        <w:t>) signaling, promoting the differentiation of endometrial fibroblasts into contractile myofibroblasts expressing transgelin (TAGLN), which facilitate lesion implantation and progression. In murine endometriosis models, targeted antibiotic therapy directed agains</w:t>
      </w:r>
      <w:r w:rsidR="001A69DE">
        <w:rPr>
          <w:rFonts w:eastAsiaTheme="minorEastAsia"/>
          <w:color w:val="000000" w:themeColor="text1"/>
          <w:lang w:val="en-US"/>
        </w:rPr>
        <w:t xml:space="preserve">t </w:t>
      </w:r>
      <w:r w:rsidRPr="00C153F6">
        <w:rPr>
          <w:rFonts w:eastAsiaTheme="minorEastAsia"/>
          <w:color w:val="000000" w:themeColor="text1"/>
          <w:lang w:val="en-US"/>
        </w:rPr>
        <w:t>Fusobacterium</w:t>
      </w:r>
      <w:r w:rsidR="001A69DE">
        <w:rPr>
          <w:rFonts w:eastAsiaTheme="minorEastAsia"/>
          <w:color w:val="000000" w:themeColor="text1"/>
          <w:lang w:val="en-US"/>
        </w:rPr>
        <w:t xml:space="preserve"> </w:t>
      </w:r>
      <w:r w:rsidRPr="00C153F6">
        <w:rPr>
          <w:rFonts w:eastAsiaTheme="minorEastAsia"/>
          <w:color w:val="000000" w:themeColor="text1"/>
          <w:lang w:val="en-US"/>
        </w:rPr>
        <w:t>effectively prevented disease establishment and reduced both the quantity and mass of established lesions, suggesting bacterial eradication as a potential therapeutic strategy</w:t>
      </w:r>
      <w:r w:rsidR="00A82110">
        <w:rPr>
          <w:rStyle w:val="Rimandonotadichiusura"/>
          <w:rFonts w:eastAsiaTheme="minorEastAsia"/>
          <w:color w:val="000000" w:themeColor="text1"/>
          <w:lang w:val="en-US"/>
        </w:rPr>
        <w:endnoteReference w:id="102"/>
      </w:r>
      <w:r w:rsidR="001A69DE">
        <w:rPr>
          <w:rFonts w:eastAsiaTheme="minorEastAsia"/>
          <w:color w:val="000000" w:themeColor="text1"/>
          <w:lang w:val="en-US"/>
        </w:rPr>
        <w:t>.</w:t>
      </w:r>
      <w:r w:rsidR="009D6912">
        <w:rPr>
          <w:rFonts w:eastAsiaTheme="minorEastAsia"/>
          <w:color w:val="000000" w:themeColor="text1"/>
          <w:lang w:val="en-US"/>
        </w:rPr>
        <w:t xml:space="preserve"> </w:t>
      </w:r>
      <w:r w:rsidR="009D6912" w:rsidRPr="009D6912">
        <w:rPr>
          <w:rFonts w:eastAsiaTheme="minorEastAsia"/>
          <w:i/>
          <w:iCs/>
          <w:color w:val="000000" w:themeColor="text1"/>
          <w:lang w:val="en-US"/>
        </w:rPr>
        <w:t xml:space="preserve">(Figure </w:t>
      </w:r>
      <w:r w:rsidR="009D6912">
        <w:rPr>
          <w:rFonts w:eastAsiaTheme="minorEastAsia"/>
          <w:i/>
          <w:iCs/>
          <w:color w:val="000000" w:themeColor="text1"/>
          <w:lang w:val="en-US"/>
        </w:rPr>
        <w:t>3</w:t>
      </w:r>
      <w:r w:rsidR="009D6912" w:rsidRPr="009D6912">
        <w:rPr>
          <w:rFonts w:eastAsiaTheme="minorEastAsia"/>
          <w:i/>
          <w:iCs/>
          <w:color w:val="000000" w:themeColor="text1"/>
          <w:lang w:val="en-US"/>
        </w:rPr>
        <w:t>)</w:t>
      </w:r>
    </w:p>
    <w:p w14:paraId="6450A612" w14:textId="77777777" w:rsidR="00C153F6" w:rsidRPr="00053BFA" w:rsidRDefault="00C153F6" w:rsidP="00C153F6">
      <w:pPr>
        <w:autoSpaceDE w:val="0"/>
        <w:autoSpaceDN w:val="0"/>
        <w:adjustRightInd w:val="0"/>
        <w:spacing w:line="360" w:lineRule="auto"/>
        <w:jc w:val="both"/>
        <w:rPr>
          <w:rFonts w:eastAsiaTheme="minorEastAsia"/>
          <w:i/>
          <w:iCs/>
          <w:color w:val="000000" w:themeColor="text1"/>
          <w:lang w:val="en-US"/>
        </w:rPr>
      </w:pPr>
      <w:r w:rsidRPr="00053BFA">
        <w:rPr>
          <w:rFonts w:eastAsiaTheme="minorEastAsia"/>
          <w:i/>
          <w:iCs/>
          <w:color w:val="000000" w:themeColor="text1"/>
          <w:lang w:val="en-US"/>
        </w:rPr>
        <w:t>Polycystic Ovary Syndrome and Microbial Dysbiosis</w:t>
      </w:r>
    </w:p>
    <w:p w14:paraId="7B501406" w14:textId="6EAF17BF" w:rsidR="00961447" w:rsidRDefault="00C153F6" w:rsidP="00100E57">
      <w:pPr>
        <w:autoSpaceDE w:val="0"/>
        <w:autoSpaceDN w:val="0"/>
        <w:adjustRightInd w:val="0"/>
        <w:spacing w:line="360" w:lineRule="auto"/>
        <w:jc w:val="both"/>
        <w:rPr>
          <w:rFonts w:eastAsiaTheme="minorEastAsia"/>
          <w:color w:val="000000" w:themeColor="text1"/>
          <w:lang w:val="en-US"/>
        </w:rPr>
      </w:pPr>
      <w:r w:rsidRPr="00C153F6">
        <w:rPr>
          <w:rFonts w:eastAsiaTheme="minorEastAsia"/>
          <w:color w:val="000000" w:themeColor="text1"/>
          <w:lang w:val="en-US"/>
        </w:rPr>
        <w:t>Dysbiotic alterations of the gut microbiota in polycystic ovary syndrome (PCOS) are characterized by altered bacterial community composition, including increased representation of</w:t>
      </w:r>
      <w:r w:rsidR="001A69DE">
        <w:rPr>
          <w:rFonts w:eastAsiaTheme="minorEastAsia"/>
          <w:color w:val="000000" w:themeColor="text1"/>
          <w:lang w:val="en-US"/>
        </w:rPr>
        <w:t xml:space="preserve"> </w:t>
      </w:r>
      <w:r w:rsidRPr="00C153F6">
        <w:rPr>
          <w:rFonts w:eastAsiaTheme="minorEastAsia"/>
          <w:color w:val="000000" w:themeColor="text1"/>
          <w:lang w:val="en-US"/>
        </w:rPr>
        <w:t>Fusobacterium</w:t>
      </w:r>
      <w:r w:rsidR="001A69DE">
        <w:rPr>
          <w:rFonts w:eastAsiaTheme="minorEastAsia"/>
          <w:color w:val="000000" w:themeColor="text1"/>
          <w:lang w:val="en-US"/>
        </w:rPr>
        <w:t xml:space="preserve"> </w:t>
      </w:r>
      <w:r w:rsidRPr="00C153F6">
        <w:rPr>
          <w:rFonts w:eastAsiaTheme="minorEastAsia"/>
          <w:color w:val="000000" w:themeColor="text1"/>
          <w:lang w:val="en-US"/>
        </w:rPr>
        <w:t xml:space="preserve">and other potential pathobionts. The dysbiosis associated with PCOS leads to elevated systemic concentrations of lipopolysaccharide (LPS), causing </w:t>
      </w:r>
      <w:r w:rsidR="00FC352D">
        <w:rPr>
          <w:rFonts w:eastAsiaTheme="minorEastAsia"/>
          <w:color w:val="000000" w:themeColor="text1"/>
          <w:lang w:val="en-US"/>
        </w:rPr>
        <w:t>“</w:t>
      </w:r>
      <w:r w:rsidRPr="00C153F6">
        <w:rPr>
          <w:rFonts w:eastAsiaTheme="minorEastAsia"/>
          <w:color w:val="000000" w:themeColor="text1"/>
          <w:lang w:val="en-US"/>
        </w:rPr>
        <w:t>metabolic endotoxemia</w:t>
      </w:r>
      <w:r w:rsidR="00FC352D">
        <w:rPr>
          <w:rFonts w:eastAsiaTheme="minorEastAsia"/>
          <w:color w:val="000000" w:themeColor="text1"/>
          <w:lang w:val="en-US"/>
        </w:rPr>
        <w:t>”</w:t>
      </w:r>
      <w:r w:rsidRPr="00C153F6">
        <w:rPr>
          <w:rFonts w:eastAsiaTheme="minorEastAsia"/>
          <w:color w:val="000000" w:themeColor="text1"/>
          <w:lang w:val="en-US"/>
        </w:rPr>
        <w:t xml:space="preserve"> that activates toll-like receptors on immune cells. This chronic low-grade inflammatory activation perpetuates the hormonal dysregulation and metabolic dysfunction characteristic of PCOS, while simultaneously compromising estrogen biosynthesis within ovarian granulosa cells. Although the precise mechanistic contribution of</w:t>
      </w:r>
      <w:r w:rsidR="001A69DE">
        <w:rPr>
          <w:rFonts w:eastAsiaTheme="minorEastAsia"/>
          <w:color w:val="000000" w:themeColor="text1"/>
          <w:lang w:val="en-US"/>
        </w:rPr>
        <w:t xml:space="preserve"> </w:t>
      </w:r>
      <w:r w:rsidRPr="00C153F6">
        <w:rPr>
          <w:rFonts w:eastAsiaTheme="minorEastAsia"/>
          <w:color w:val="000000" w:themeColor="text1"/>
          <w:lang w:val="en-US"/>
        </w:rPr>
        <w:t>Fusobacterium</w:t>
      </w:r>
      <w:r w:rsidR="001A69DE">
        <w:rPr>
          <w:rFonts w:eastAsiaTheme="minorEastAsia"/>
          <w:color w:val="000000" w:themeColor="text1"/>
          <w:lang w:val="en-US"/>
        </w:rPr>
        <w:t xml:space="preserve"> </w:t>
      </w:r>
      <w:r w:rsidRPr="00C153F6">
        <w:rPr>
          <w:rFonts w:eastAsiaTheme="minorEastAsia"/>
          <w:color w:val="000000" w:themeColor="text1"/>
          <w:lang w:val="en-US"/>
        </w:rPr>
        <w:t>to PCOS pathogenesis requires further investigation, the dysbiosis-inflammation axis represents a potential therapeutic target for intervention</w:t>
      </w:r>
      <w:r w:rsidR="00A82110">
        <w:rPr>
          <w:rStyle w:val="Rimandonotadichiusura"/>
          <w:rFonts w:eastAsiaTheme="minorEastAsia"/>
          <w:color w:val="000000" w:themeColor="text1"/>
          <w:lang w:val="en-US"/>
        </w:rPr>
        <w:endnoteReference w:id="103"/>
      </w:r>
      <w:r w:rsidR="001A69DE">
        <w:rPr>
          <w:rFonts w:eastAsiaTheme="minorEastAsia"/>
          <w:color w:val="000000" w:themeColor="text1"/>
          <w:lang w:val="en-US"/>
        </w:rPr>
        <w:t>.</w:t>
      </w:r>
    </w:p>
    <w:p w14:paraId="0F501A39" w14:textId="77777777" w:rsidR="00092334" w:rsidRDefault="00092334" w:rsidP="00100E57">
      <w:pPr>
        <w:autoSpaceDE w:val="0"/>
        <w:autoSpaceDN w:val="0"/>
        <w:adjustRightInd w:val="0"/>
        <w:spacing w:line="360" w:lineRule="auto"/>
        <w:jc w:val="both"/>
        <w:rPr>
          <w:rFonts w:eastAsiaTheme="minorEastAsia"/>
          <w:color w:val="000000" w:themeColor="text1"/>
          <w:lang w:val="en-US"/>
        </w:rPr>
      </w:pPr>
    </w:p>
    <w:p w14:paraId="3A78F328" w14:textId="77777777" w:rsidR="00092334" w:rsidRDefault="00092334" w:rsidP="00100E57">
      <w:pPr>
        <w:autoSpaceDE w:val="0"/>
        <w:autoSpaceDN w:val="0"/>
        <w:adjustRightInd w:val="0"/>
        <w:spacing w:line="360" w:lineRule="auto"/>
        <w:jc w:val="both"/>
        <w:rPr>
          <w:rFonts w:eastAsiaTheme="minorEastAsia"/>
          <w:color w:val="000000" w:themeColor="text1"/>
          <w:lang w:val="en-US"/>
        </w:rPr>
      </w:pPr>
    </w:p>
    <w:p w14:paraId="39D9F7F8" w14:textId="1652CC07" w:rsidR="00092334" w:rsidRDefault="00092334" w:rsidP="00100E57">
      <w:pPr>
        <w:autoSpaceDE w:val="0"/>
        <w:autoSpaceDN w:val="0"/>
        <w:adjustRightInd w:val="0"/>
        <w:spacing w:line="360" w:lineRule="auto"/>
        <w:jc w:val="both"/>
        <w:rPr>
          <w:rFonts w:eastAsiaTheme="minorEastAsia"/>
          <w:color w:val="000000" w:themeColor="text1"/>
          <w:lang w:val="en-US"/>
        </w:rPr>
      </w:pPr>
      <w:r>
        <w:rPr>
          <w:rFonts w:eastAsiaTheme="minorEastAsia"/>
          <w:noProof/>
          <w:lang w:val="en-US"/>
        </w:rPr>
        <w:drawing>
          <wp:inline distT="0" distB="0" distL="0" distR="0" wp14:anchorId="0169DA4D" wp14:editId="5684A537">
            <wp:extent cx="4190452" cy="2973312"/>
            <wp:effectExtent l="0" t="0" r="635" b="0"/>
            <wp:docPr id="1208892840" name="Immagine 12" descr="Immagine che contiene testo,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92840" name="Immagine 12" descr="Immagine che contiene testo, schermata, design&#10;&#10;Descrizione generata automaticamente"/>
                    <pic:cNvPicPr/>
                  </pic:nvPicPr>
                  <pic:blipFill>
                    <a:blip r:embed="rId13"/>
                    <a:stretch>
                      <a:fillRect/>
                    </a:stretch>
                  </pic:blipFill>
                  <pic:spPr>
                    <a:xfrm>
                      <a:off x="0" y="0"/>
                      <a:ext cx="4213277" cy="2989507"/>
                    </a:xfrm>
                    <a:prstGeom prst="rect">
                      <a:avLst/>
                    </a:prstGeom>
                  </pic:spPr>
                </pic:pic>
              </a:graphicData>
            </a:graphic>
          </wp:inline>
        </w:drawing>
      </w:r>
    </w:p>
    <w:p w14:paraId="70832A10" w14:textId="77777777" w:rsidR="00EE4819" w:rsidRDefault="009D6912" w:rsidP="009D6912">
      <w:pPr>
        <w:autoSpaceDE w:val="0"/>
        <w:autoSpaceDN w:val="0"/>
        <w:adjustRightInd w:val="0"/>
        <w:jc w:val="both"/>
        <w:rPr>
          <w:rFonts w:eastAsiaTheme="minorEastAsia"/>
          <w:b/>
          <w:bCs/>
          <w:color w:val="000000" w:themeColor="text1"/>
          <w:sz w:val="18"/>
          <w:szCs w:val="18"/>
          <w:lang w:val="en-US"/>
        </w:rPr>
      </w:pPr>
      <w:r w:rsidRPr="009D6912">
        <w:rPr>
          <w:rFonts w:eastAsiaTheme="minorEastAsia"/>
          <w:b/>
          <w:bCs/>
          <w:color w:val="000000" w:themeColor="text1"/>
          <w:sz w:val="18"/>
          <w:szCs w:val="18"/>
          <w:lang w:val="en-US"/>
        </w:rPr>
        <w:lastRenderedPageBreak/>
        <w:t xml:space="preserve">Figure </w:t>
      </w:r>
      <w:r>
        <w:rPr>
          <w:rFonts w:eastAsiaTheme="minorEastAsia"/>
          <w:b/>
          <w:bCs/>
          <w:color w:val="000000" w:themeColor="text1"/>
          <w:sz w:val="18"/>
          <w:szCs w:val="18"/>
          <w:lang w:val="en-US"/>
        </w:rPr>
        <w:t>3</w:t>
      </w:r>
      <w:r w:rsidRPr="009D6912">
        <w:rPr>
          <w:rFonts w:eastAsiaTheme="minorEastAsia"/>
          <w:b/>
          <w:bCs/>
          <w:color w:val="000000" w:themeColor="text1"/>
          <w:sz w:val="18"/>
          <w:szCs w:val="18"/>
          <w:lang w:val="en-US"/>
        </w:rPr>
        <w:t>. Proposed link between oral dysbiosis and gynecological inflammatory conditions.</w:t>
      </w:r>
      <w:r w:rsidR="00EE4819">
        <w:rPr>
          <w:rFonts w:eastAsiaTheme="minorEastAsia"/>
          <w:b/>
          <w:bCs/>
          <w:color w:val="000000" w:themeColor="text1"/>
          <w:sz w:val="18"/>
          <w:szCs w:val="18"/>
          <w:lang w:val="en-US"/>
        </w:rPr>
        <w:t xml:space="preserve"> </w:t>
      </w:r>
    </w:p>
    <w:p w14:paraId="0B55A508" w14:textId="04B36054" w:rsidR="00092334" w:rsidRPr="00EE4819" w:rsidRDefault="009D6912" w:rsidP="009D6912">
      <w:pPr>
        <w:autoSpaceDE w:val="0"/>
        <w:autoSpaceDN w:val="0"/>
        <w:adjustRightInd w:val="0"/>
        <w:jc w:val="both"/>
        <w:rPr>
          <w:rFonts w:eastAsiaTheme="minorEastAsia"/>
          <w:b/>
          <w:bCs/>
          <w:color w:val="000000" w:themeColor="text1"/>
          <w:sz w:val="18"/>
          <w:szCs w:val="18"/>
          <w:lang w:val="en-US"/>
        </w:rPr>
      </w:pPr>
      <w:r w:rsidRPr="009D6912">
        <w:rPr>
          <w:rFonts w:eastAsiaTheme="minorEastAsia"/>
          <w:color w:val="000000" w:themeColor="text1"/>
          <w:sz w:val="18"/>
          <w:szCs w:val="18"/>
          <w:lang w:val="en-US"/>
        </w:rPr>
        <w:t xml:space="preserve">Schematic illustration showing the potential role of periodontal pathogens, including </w:t>
      </w:r>
      <w:r w:rsidRPr="009D6912">
        <w:rPr>
          <w:rFonts w:eastAsiaTheme="minorEastAsia"/>
          <w:i/>
          <w:iCs/>
          <w:color w:val="000000" w:themeColor="text1"/>
          <w:sz w:val="18"/>
          <w:szCs w:val="18"/>
          <w:lang w:val="en-US"/>
        </w:rPr>
        <w:t>Fusobacterium nucleatum</w:t>
      </w:r>
      <w:r w:rsidRPr="009D6912">
        <w:rPr>
          <w:rFonts w:eastAsiaTheme="minorEastAsia"/>
          <w:color w:val="000000" w:themeColor="text1"/>
          <w:sz w:val="18"/>
          <w:szCs w:val="18"/>
          <w:lang w:val="en-US"/>
        </w:rPr>
        <w:t xml:space="preserve"> and </w:t>
      </w:r>
      <w:r w:rsidRPr="009D6912">
        <w:rPr>
          <w:rFonts w:eastAsiaTheme="minorEastAsia"/>
          <w:i/>
          <w:iCs/>
          <w:color w:val="000000" w:themeColor="text1"/>
          <w:sz w:val="18"/>
          <w:szCs w:val="18"/>
          <w:lang w:val="en-US"/>
        </w:rPr>
        <w:t>Porphyromonas gingivalis</w:t>
      </w:r>
      <w:r w:rsidRPr="009D6912">
        <w:rPr>
          <w:rFonts w:eastAsiaTheme="minorEastAsia"/>
          <w:color w:val="000000" w:themeColor="text1"/>
          <w:sz w:val="18"/>
          <w:szCs w:val="18"/>
          <w:lang w:val="en-US"/>
        </w:rPr>
        <w:t>, in systemic inflammatory pathways that may contribute to endometriosis exacerbation, pelvic inflammation, and conditions associated with female infertility.</w:t>
      </w:r>
    </w:p>
    <w:p w14:paraId="4277B55E" w14:textId="77777777" w:rsidR="00686C11" w:rsidRDefault="00686C11" w:rsidP="009D6912">
      <w:pPr>
        <w:autoSpaceDE w:val="0"/>
        <w:autoSpaceDN w:val="0"/>
        <w:adjustRightInd w:val="0"/>
        <w:jc w:val="both"/>
        <w:rPr>
          <w:rFonts w:eastAsiaTheme="minorEastAsia"/>
          <w:color w:val="000000" w:themeColor="text1"/>
          <w:sz w:val="18"/>
          <w:szCs w:val="18"/>
          <w:lang w:val="en-US"/>
        </w:rPr>
      </w:pPr>
    </w:p>
    <w:p w14:paraId="0E3095CD" w14:textId="77777777" w:rsidR="00686C11" w:rsidRPr="009D6912" w:rsidRDefault="00686C11" w:rsidP="009D6912">
      <w:pPr>
        <w:autoSpaceDE w:val="0"/>
        <w:autoSpaceDN w:val="0"/>
        <w:adjustRightInd w:val="0"/>
        <w:jc w:val="both"/>
        <w:rPr>
          <w:rFonts w:eastAsiaTheme="minorEastAsia"/>
          <w:color w:val="000000" w:themeColor="text1"/>
          <w:sz w:val="18"/>
          <w:szCs w:val="18"/>
          <w:lang w:val="en-US"/>
        </w:rPr>
      </w:pPr>
    </w:p>
    <w:p w14:paraId="4A1D24FD" w14:textId="151692E0" w:rsidR="00961447" w:rsidRPr="00615C60" w:rsidRDefault="00961447" w:rsidP="00100E57">
      <w:pPr>
        <w:pStyle w:val="Titolo2"/>
        <w:spacing w:line="360" w:lineRule="auto"/>
        <w:rPr>
          <w:i/>
          <w:iCs/>
          <w:sz w:val="28"/>
          <w:szCs w:val="28"/>
          <w:lang w:val="en-US"/>
        </w:rPr>
      </w:pPr>
      <w:bookmarkStart w:id="12" w:name="_Toc219243276"/>
      <w:r w:rsidRPr="004D10FB">
        <w:rPr>
          <w:sz w:val="28"/>
          <w:szCs w:val="28"/>
          <w:lang w:val="en-US"/>
        </w:rPr>
        <w:t>1.1.</w:t>
      </w:r>
      <w:r w:rsidR="008124FE" w:rsidRPr="004D10FB">
        <w:rPr>
          <w:sz w:val="28"/>
          <w:szCs w:val="28"/>
          <w:lang w:val="en-US"/>
        </w:rPr>
        <w:t>4</w:t>
      </w:r>
      <w:r w:rsidRPr="00615C60">
        <w:rPr>
          <w:i/>
          <w:iCs/>
          <w:sz w:val="28"/>
          <w:szCs w:val="28"/>
          <w:lang w:val="en-US"/>
        </w:rPr>
        <w:t xml:space="preserve"> </w:t>
      </w:r>
      <w:r w:rsidR="00EB3803">
        <w:rPr>
          <w:i/>
          <w:iCs/>
          <w:sz w:val="28"/>
          <w:szCs w:val="28"/>
          <w:lang w:val="en-US"/>
        </w:rPr>
        <w:t>PREVOTELLA INTERMEDIA</w:t>
      </w:r>
      <w:bookmarkEnd w:id="12"/>
      <w:r w:rsidR="00EB3803">
        <w:rPr>
          <w:i/>
          <w:iCs/>
          <w:sz w:val="28"/>
          <w:szCs w:val="28"/>
          <w:lang w:val="en-US"/>
        </w:rPr>
        <w:t xml:space="preserve"> </w:t>
      </w:r>
    </w:p>
    <w:p w14:paraId="5B20CCA9" w14:textId="7E7FFF69" w:rsidR="00961447" w:rsidRPr="00E90FCB" w:rsidRDefault="00961447" w:rsidP="00100E57">
      <w:pPr>
        <w:pStyle w:val="Titolo3"/>
        <w:spacing w:line="360" w:lineRule="auto"/>
        <w:rPr>
          <w:i/>
          <w:iCs/>
          <w:sz w:val="28"/>
          <w:szCs w:val="28"/>
          <w:lang w:val="en-US"/>
        </w:rPr>
      </w:pPr>
      <w:bookmarkStart w:id="13" w:name="_Toc219243277"/>
      <w:r w:rsidRPr="00E90FCB">
        <w:rPr>
          <w:i/>
          <w:iCs/>
          <w:sz w:val="28"/>
          <w:szCs w:val="28"/>
          <w:lang w:val="en-US"/>
        </w:rPr>
        <w:t>1.1.</w:t>
      </w:r>
      <w:r w:rsidR="008124FE">
        <w:rPr>
          <w:i/>
          <w:iCs/>
          <w:sz w:val="28"/>
          <w:szCs w:val="28"/>
          <w:lang w:val="en-US"/>
        </w:rPr>
        <w:t>4</w:t>
      </w:r>
      <w:r w:rsidRPr="00E90FCB">
        <w:rPr>
          <w:i/>
          <w:iCs/>
          <w:sz w:val="28"/>
          <w:szCs w:val="28"/>
          <w:lang w:val="en-US"/>
        </w:rPr>
        <w:t xml:space="preserve">.1 </w:t>
      </w:r>
      <w:r w:rsidR="00E90FCB" w:rsidRPr="00E90FCB">
        <w:rPr>
          <w:i/>
          <w:iCs/>
          <w:sz w:val="28"/>
          <w:szCs w:val="28"/>
          <w:lang w:val="en-US"/>
        </w:rPr>
        <w:t>Overview and structural features</w:t>
      </w:r>
      <w:bookmarkEnd w:id="13"/>
    </w:p>
    <w:p w14:paraId="38D9CCAB" w14:textId="454976AC" w:rsidR="00C73F3D" w:rsidRPr="001A69DE" w:rsidRDefault="00C73F3D" w:rsidP="00100E57">
      <w:pPr>
        <w:spacing w:line="360" w:lineRule="auto"/>
        <w:jc w:val="both"/>
        <w:rPr>
          <w:rFonts w:eastAsiaTheme="minorEastAsia"/>
          <w:color w:val="000000" w:themeColor="text1"/>
          <w:lang w:val="en-US"/>
        </w:rPr>
      </w:pPr>
      <w:r w:rsidRPr="00100E57">
        <w:rPr>
          <w:rFonts w:eastAsiaTheme="minorEastAsia"/>
          <w:i/>
          <w:iCs/>
          <w:color w:val="000000" w:themeColor="text1"/>
          <w:lang w:val="en-US"/>
        </w:rPr>
        <w:t xml:space="preserve">Prevotella </w:t>
      </w:r>
      <w:r w:rsidR="00100E57">
        <w:rPr>
          <w:rFonts w:eastAsiaTheme="minorEastAsia"/>
          <w:i/>
          <w:iCs/>
          <w:color w:val="000000" w:themeColor="text1"/>
          <w:lang w:val="en-US"/>
        </w:rPr>
        <w:t>i</w:t>
      </w:r>
      <w:r w:rsidRPr="00100E57">
        <w:rPr>
          <w:rFonts w:eastAsiaTheme="minorEastAsia"/>
          <w:i/>
          <w:iCs/>
          <w:color w:val="000000" w:themeColor="text1"/>
          <w:lang w:val="en-US"/>
        </w:rPr>
        <w:t>ntermedia</w:t>
      </w:r>
      <w:r w:rsidR="00100E57">
        <w:rPr>
          <w:rFonts w:eastAsiaTheme="minorEastAsia"/>
          <w:color w:val="000000" w:themeColor="text1"/>
          <w:lang w:val="en-US"/>
        </w:rPr>
        <w:t xml:space="preserve"> </w:t>
      </w:r>
      <w:r w:rsidRPr="00C73F3D">
        <w:rPr>
          <w:rFonts w:eastAsiaTheme="minorEastAsia"/>
          <w:color w:val="000000" w:themeColor="text1"/>
          <w:lang w:val="en-US"/>
        </w:rPr>
        <w:t>constitutes a gram-negative, strictly anaerobic, rod-shaped microorganism situated taxonomically within the phylum Bacteroidetes.</w:t>
      </w:r>
      <w:r w:rsidR="009D6912">
        <w:rPr>
          <w:rFonts w:eastAsiaTheme="minorEastAsia"/>
          <w:color w:val="000000" w:themeColor="text1"/>
          <w:lang w:val="en-US"/>
        </w:rPr>
        <w:t xml:space="preserve"> </w:t>
      </w:r>
      <w:r w:rsidR="009D6912" w:rsidRPr="009D6912">
        <w:rPr>
          <w:rFonts w:eastAsiaTheme="minorEastAsia"/>
          <w:i/>
          <w:iCs/>
          <w:color w:val="000000" w:themeColor="text1"/>
          <w:lang w:val="en-US"/>
        </w:rPr>
        <w:t>(Figure 4)</w:t>
      </w:r>
      <w:r w:rsidRPr="00C73F3D">
        <w:rPr>
          <w:rFonts w:eastAsiaTheme="minorEastAsia"/>
          <w:color w:val="000000" w:themeColor="text1"/>
          <w:lang w:val="en-US"/>
        </w:rPr>
        <w:t xml:space="preserve"> The organism manifests a distinctive phenotypic trait involving the synthesis of dark-pigmented bacterial colonies on nutrient media containing blood, progressing through a chromatic spectrum from light grey through brown tones to deep black coloration</w:t>
      </w:r>
      <w:r w:rsidR="00756B08">
        <w:rPr>
          <w:rFonts w:eastAsiaTheme="minorEastAsia"/>
          <w:color w:val="000000" w:themeColor="text1"/>
          <w:lang w:val="en-US"/>
        </w:rPr>
        <w:t xml:space="preserve">, </w:t>
      </w:r>
      <w:r w:rsidRPr="00C73F3D">
        <w:rPr>
          <w:rFonts w:eastAsiaTheme="minorEastAsia"/>
          <w:color w:val="000000" w:themeColor="text1"/>
          <w:lang w:val="en-US"/>
        </w:rPr>
        <w:t>a property that defines its classification within the black-pigmented rod (BPR) categorization. Genomic analysis documents a chromosomal organization totaling approximately 3.16 million nucleotide base pairs, encoding roughly 2,502 distinct protein-coding sequences within a guanine-cytosine molecular composition of 43.8%.</w:t>
      </w:r>
    </w:p>
    <w:p w14:paraId="168D900B" w14:textId="3A25C27B" w:rsidR="00C73F3D" w:rsidRPr="00C44CC1" w:rsidRDefault="00100E57" w:rsidP="0099249E">
      <w:pPr>
        <w:spacing w:line="360" w:lineRule="auto"/>
        <w:jc w:val="both"/>
        <w:rPr>
          <w:color w:val="000000" w:themeColor="text1"/>
          <w:lang w:val="en-US"/>
        </w:rPr>
      </w:pPr>
      <w:r w:rsidRPr="00100E57">
        <w:rPr>
          <w:rFonts w:eastAsiaTheme="minorEastAsia"/>
          <w:i/>
          <w:iCs/>
          <w:color w:val="000000" w:themeColor="text1"/>
          <w:lang w:val="en-US"/>
        </w:rPr>
        <w:t>Prevotella intermedia</w:t>
      </w:r>
      <w:r>
        <w:rPr>
          <w:rFonts w:eastAsiaTheme="minorEastAsia"/>
          <w:color w:val="000000" w:themeColor="text1"/>
          <w:lang w:val="en-US"/>
        </w:rPr>
        <w:t xml:space="preserve"> </w:t>
      </w:r>
      <w:r w:rsidR="00C73F3D" w:rsidRPr="00C73F3D">
        <w:rPr>
          <w:color w:val="000000" w:themeColor="text1"/>
          <w:lang w:val="en-US"/>
        </w:rPr>
        <w:t xml:space="preserve">exhibits the canonical gram-negative bacterial cellular envelope consisting of an outer lipopolysaccharide-containing membrane layer, an intervening peptidoglycan cross-linked cell wall structure, and an inner cytoplasmic bilayer. </w:t>
      </w:r>
      <w:r w:rsidR="00C73F3D" w:rsidRPr="00C44CC1">
        <w:rPr>
          <w:color w:val="000000" w:themeColor="text1"/>
          <w:lang w:val="en-US"/>
        </w:rPr>
        <w:t>The bacterial cellular surface demonstrates remarkable morphological intricacy, featuring four categorically distinct classes of pili and appendage-like structures differentiated by their diameter measurements</w:t>
      </w:r>
      <w:r w:rsidR="00756B08">
        <w:rPr>
          <w:color w:val="000000" w:themeColor="text1"/>
          <w:lang w:val="en-US"/>
        </w:rPr>
        <w:t xml:space="preserve">, </w:t>
      </w:r>
      <w:r w:rsidR="00C73F3D" w:rsidRPr="00C44CC1">
        <w:rPr>
          <w:color w:val="000000" w:themeColor="text1"/>
          <w:lang w:val="en-US"/>
        </w:rPr>
        <w:t xml:space="preserve">ranging from type A appendages with 1-2 nanometer dimensions through progressively larger </w:t>
      </w:r>
      <w:r w:rsidR="00C73F3D" w:rsidRPr="00595ACA">
        <w:rPr>
          <w:color w:val="000000" w:themeColor="text1"/>
          <w:lang w:val="en-US"/>
        </w:rPr>
        <w:t>type B, C, and D structural variants, indicative of heterogeneous adhesion apparatus</w:t>
      </w:r>
      <w:r w:rsidR="00595ACA" w:rsidRPr="00595ACA">
        <w:rPr>
          <w:rStyle w:val="Rimandonotadichiusura"/>
          <w:color w:val="000000" w:themeColor="text1"/>
          <w:lang w:val="en-US"/>
        </w:rPr>
        <w:endnoteReference w:id="104"/>
      </w:r>
      <w:r w:rsidR="00595ACA">
        <w:rPr>
          <w:color w:val="000000" w:themeColor="text1"/>
          <w:lang w:val="en-US"/>
        </w:rPr>
        <w:t>.</w:t>
      </w:r>
    </w:p>
    <w:p w14:paraId="666E46E2" w14:textId="77777777" w:rsidR="00686C11" w:rsidRDefault="00C73F3D" w:rsidP="0099249E">
      <w:pPr>
        <w:spacing w:line="360" w:lineRule="auto"/>
        <w:jc w:val="both"/>
        <w:rPr>
          <w:color w:val="000000" w:themeColor="text1"/>
          <w:lang w:val="en-US"/>
        </w:rPr>
      </w:pPr>
      <w:r w:rsidRPr="00C44CC1">
        <w:rPr>
          <w:color w:val="000000" w:themeColor="text1"/>
          <w:lang w:val="en-US"/>
        </w:rPr>
        <w:t>Contemporary genomic sequencing initiatives and comparative analysis of multiple</w:t>
      </w:r>
      <w:r w:rsidR="001A69DE">
        <w:rPr>
          <w:color w:val="000000" w:themeColor="text1"/>
          <w:lang w:val="en-US"/>
        </w:rPr>
        <w:t xml:space="preserve"> </w:t>
      </w:r>
      <w:r w:rsidRPr="00C44CC1">
        <w:rPr>
          <w:color w:val="000000" w:themeColor="text1"/>
          <w:lang w:val="en-US"/>
        </w:rPr>
        <w:t>P</w:t>
      </w:r>
      <w:r w:rsidRPr="00175FF6">
        <w:rPr>
          <w:i/>
          <w:iCs/>
          <w:color w:val="000000" w:themeColor="text1"/>
          <w:lang w:val="en-US"/>
        </w:rPr>
        <w:t>. intermedia</w:t>
      </w:r>
      <w:r w:rsidR="00175FF6">
        <w:rPr>
          <w:color w:val="000000" w:themeColor="text1"/>
          <w:lang w:val="en-US"/>
        </w:rPr>
        <w:t xml:space="preserve"> </w:t>
      </w:r>
      <w:r w:rsidRPr="00C44CC1">
        <w:rPr>
          <w:color w:val="000000" w:themeColor="text1"/>
          <w:lang w:val="en-US"/>
        </w:rPr>
        <w:t>clinical isolates</w:t>
      </w:r>
      <w:r w:rsidR="00756B08">
        <w:rPr>
          <w:color w:val="000000" w:themeColor="text1"/>
          <w:lang w:val="en-US"/>
        </w:rPr>
        <w:t xml:space="preserve"> – </w:t>
      </w:r>
      <w:r w:rsidRPr="00C44CC1">
        <w:rPr>
          <w:color w:val="000000" w:themeColor="text1"/>
          <w:lang w:val="en-US"/>
        </w:rPr>
        <w:t>encompassing reference strain designations ATCC 25611, ATCC 49046, ATCC 15032, ATCC 15033, and a clinical environmental isolate Pi17</w:t>
      </w:r>
      <w:r w:rsidR="00756B08">
        <w:rPr>
          <w:color w:val="000000" w:themeColor="text1"/>
          <w:lang w:val="en-US"/>
        </w:rPr>
        <w:t xml:space="preserve"> – </w:t>
      </w:r>
      <w:r w:rsidRPr="00C44CC1">
        <w:rPr>
          <w:color w:val="000000" w:themeColor="text1"/>
          <w:lang w:val="en-US"/>
        </w:rPr>
        <w:t>have documented substantial inter-isolate genetic heterogeneity driven by chromosomal copy number variations (CNVs) and individual nucleotide polymorphic substitutions (SNPs). Remarkably, genes encoding carbohydrate-transforming enzymes (glycosyltransferases) and iron/hemin-acquisition mechanisms show pronounced strain-specific divergence. Counterintuitively, the ATCC 49046 isolate, which fails to synthesize the prototypical mucilaginous exopolysaccharide capsule (EPS)</w:t>
      </w:r>
      <w:r w:rsidR="00686C11">
        <w:rPr>
          <w:color w:val="000000" w:themeColor="text1"/>
          <w:lang w:val="en-US"/>
        </w:rPr>
        <w:t>,</w:t>
      </w:r>
      <w:r w:rsidR="00756B08">
        <w:rPr>
          <w:color w:val="000000" w:themeColor="text1"/>
          <w:lang w:val="en-US"/>
        </w:rPr>
        <w:t xml:space="preserve"> </w:t>
      </w:r>
      <w:r w:rsidRPr="00C44CC1">
        <w:rPr>
          <w:color w:val="000000" w:themeColor="text1"/>
          <w:lang w:val="en-US"/>
        </w:rPr>
        <w:t>traditionally recognized as a cardinal virulence attribute</w:t>
      </w:r>
      <w:r w:rsidR="00686C11">
        <w:rPr>
          <w:color w:val="000000" w:themeColor="text1"/>
          <w:lang w:val="en-US"/>
        </w:rPr>
        <w:t>,</w:t>
      </w:r>
      <w:r w:rsidR="00756B08">
        <w:rPr>
          <w:color w:val="000000" w:themeColor="text1"/>
          <w:lang w:val="en-US"/>
        </w:rPr>
        <w:t xml:space="preserve"> </w:t>
      </w:r>
      <w:r w:rsidRPr="00C44CC1">
        <w:rPr>
          <w:color w:val="000000" w:themeColor="text1"/>
          <w:lang w:val="en-US"/>
        </w:rPr>
        <w:t xml:space="preserve">paradoxically demonstrated the most potent </w:t>
      </w:r>
      <w:r w:rsidRPr="00C44CC1">
        <w:rPr>
          <w:color w:val="000000" w:themeColor="text1"/>
          <w:lang w:val="en-US"/>
        </w:rPr>
        <w:lastRenderedPageBreak/>
        <w:t>virulence characteristics among analyzed strains, suggesting that polysaccharide matrix production alone cannot explain pathogenic potential</w:t>
      </w:r>
      <w:r w:rsidR="009A1778">
        <w:rPr>
          <w:color w:val="000000" w:themeColor="text1"/>
          <w:vertAlign w:val="superscript"/>
          <w:lang w:val="en-US"/>
        </w:rPr>
        <w:t>104</w:t>
      </w:r>
      <w:r w:rsidR="00686C11">
        <w:rPr>
          <w:color w:val="000000" w:themeColor="text1"/>
          <w:lang w:val="en-US"/>
        </w:rPr>
        <w:t xml:space="preserve">. </w:t>
      </w:r>
    </w:p>
    <w:p w14:paraId="3B853BA9" w14:textId="46DB4EE3" w:rsidR="00C73F3D" w:rsidRPr="00C44CC1" w:rsidRDefault="00C73F3D" w:rsidP="0099249E">
      <w:pPr>
        <w:spacing w:line="360" w:lineRule="auto"/>
        <w:jc w:val="both"/>
        <w:rPr>
          <w:color w:val="000000" w:themeColor="text1"/>
          <w:lang w:val="en-US"/>
        </w:rPr>
      </w:pPr>
      <w:r w:rsidRPr="00C44CC1">
        <w:rPr>
          <w:color w:val="000000" w:themeColor="text1"/>
          <w:lang w:val="en-US"/>
        </w:rPr>
        <w:t>The species maintains approximately 165-170 conserved genetic loci representing core genes enabling ecological adaptation across diverse oral niches, facilitating organism survival within both supragingival (oxygen-rich) and subgingival (anaerobic) compartments. Despite minimal phylogenetic nucleotide sequence alignment (~3%) distinguishing different clinical isolates, a remarkably well-conserved 49-kilobase chromosomal segment is present across</w:t>
      </w:r>
      <w:r w:rsidR="001A69DE">
        <w:rPr>
          <w:color w:val="000000" w:themeColor="text1"/>
          <w:lang w:val="en-US"/>
        </w:rPr>
        <w:t xml:space="preserve"> </w:t>
      </w:r>
      <w:r w:rsidRPr="001A0DDC">
        <w:rPr>
          <w:i/>
          <w:iCs/>
          <w:color w:val="000000" w:themeColor="text1"/>
          <w:lang w:val="en-US"/>
        </w:rPr>
        <w:t>P. intermedia</w:t>
      </w:r>
      <w:r w:rsidR="001A69DE">
        <w:rPr>
          <w:color w:val="000000" w:themeColor="text1"/>
          <w:lang w:val="en-US"/>
        </w:rPr>
        <w:t xml:space="preserve"> </w:t>
      </w:r>
      <w:r w:rsidRPr="00C44CC1">
        <w:rPr>
          <w:color w:val="000000" w:themeColor="text1"/>
          <w:lang w:val="en-US"/>
        </w:rPr>
        <w:t>populations, suggesting evolutionary selection pressure maintaining particular pathogenic determinants.</w:t>
      </w:r>
    </w:p>
    <w:p w14:paraId="5EE54C88" w14:textId="2E2BD2E1" w:rsidR="00C73F3D" w:rsidRPr="00C44CC1" w:rsidRDefault="00C73F3D" w:rsidP="0099249E">
      <w:pPr>
        <w:spacing w:line="360" w:lineRule="auto"/>
        <w:jc w:val="both"/>
        <w:rPr>
          <w:color w:val="000000" w:themeColor="text1"/>
          <w:lang w:val="en-US"/>
        </w:rPr>
      </w:pPr>
      <w:r w:rsidRPr="00C44CC1">
        <w:rPr>
          <w:color w:val="000000" w:themeColor="text1"/>
          <w:lang w:val="en-US"/>
        </w:rPr>
        <w:t>The bacterium</w:t>
      </w:r>
      <w:r w:rsidR="00053BFA">
        <w:rPr>
          <w:color w:val="000000" w:themeColor="text1"/>
          <w:lang w:val="en-US"/>
        </w:rPr>
        <w:t>’</w:t>
      </w:r>
      <w:r w:rsidRPr="00C44CC1">
        <w:rPr>
          <w:color w:val="000000" w:themeColor="text1"/>
          <w:lang w:val="en-US"/>
        </w:rPr>
        <w:t>s chromosome organization reveals the presence of two circular DNA molecules</w:t>
      </w:r>
      <w:r w:rsidR="00756B08">
        <w:rPr>
          <w:color w:val="000000" w:themeColor="text1"/>
          <w:lang w:val="en-US"/>
        </w:rPr>
        <w:t xml:space="preserve">, </w:t>
      </w:r>
      <w:r w:rsidRPr="00C44CC1">
        <w:rPr>
          <w:color w:val="000000" w:themeColor="text1"/>
          <w:lang w:val="en-US"/>
        </w:rPr>
        <w:t>a structural feature that distinguishes</w:t>
      </w:r>
      <w:r w:rsidR="001A69DE">
        <w:rPr>
          <w:color w:val="000000" w:themeColor="text1"/>
          <w:lang w:val="en-US"/>
        </w:rPr>
        <w:t xml:space="preserve"> </w:t>
      </w:r>
      <w:r w:rsidRPr="00756B08">
        <w:rPr>
          <w:i/>
          <w:iCs/>
          <w:color w:val="000000" w:themeColor="text1"/>
          <w:lang w:val="en-US"/>
        </w:rPr>
        <w:t>P. intermedia</w:t>
      </w:r>
      <w:r w:rsidR="001A69DE">
        <w:rPr>
          <w:color w:val="000000" w:themeColor="text1"/>
          <w:lang w:val="en-US"/>
        </w:rPr>
        <w:t xml:space="preserve"> </w:t>
      </w:r>
      <w:r w:rsidRPr="00C44CC1">
        <w:rPr>
          <w:color w:val="000000" w:themeColor="text1"/>
          <w:lang w:val="en-US"/>
        </w:rPr>
        <w:t>from many other oral bacteria. These chromosomal elements show remarkable variation in size, with the larger primary chromosome exhibiting substantial gene content homogeneity across strains, while secondary chromosomal structures demonstrate noteworthy dimensional heterogeneity and extensive genomic rearrangement patterns. The organisms maintain an extraordinary abundance of conjugative and mobilizable transposable genetic elements within secondary chromosomal compartments, which have undergone dramatic rearrangement and have introduced numerous strain-specific genetic sequences</w:t>
      </w:r>
      <w:r w:rsidR="003E1EB3">
        <w:rPr>
          <w:rStyle w:val="Rimandonotadichiusura"/>
          <w:color w:val="000000" w:themeColor="text1"/>
          <w:lang w:val="en-US"/>
        </w:rPr>
        <w:endnoteReference w:id="105"/>
      </w:r>
      <w:r w:rsidR="00595ACA">
        <w:rPr>
          <w:color w:val="000000" w:themeColor="text1"/>
          <w:lang w:val="en-US"/>
        </w:rPr>
        <w:t>.</w:t>
      </w:r>
    </w:p>
    <w:p w14:paraId="1DB5D3E0" w14:textId="57A33081" w:rsidR="00C73F3D" w:rsidRPr="00C44CC1" w:rsidRDefault="00C73F3D" w:rsidP="0099249E">
      <w:pPr>
        <w:spacing w:line="360" w:lineRule="auto"/>
        <w:jc w:val="both"/>
        <w:rPr>
          <w:color w:val="000000" w:themeColor="text1"/>
          <w:lang w:val="en-US"/>
        </w:rPr>
      </w:pPr>
      <w:r w:rsidRPr="00100E57">
        <w:rPr>
          <w:i/>
          <w:iCs/>
          <w:color w:val="000000" w:themeColor="text1"/>
          <w:lang w:val="en-US"/>
        </w:rPr>
        <w:t>Prevotella intermedia</w:t>
      </w:r>
      <w:r w:rsidR="001A69DE">
        <w:rPr>
          <w:color w:val="000000" w:themeColor="text1"/>
          <w:lang w:val="en-US"/>
        </w:rPr>
        <w:t xml:space="preserve"> </w:t>
      </w:r>
      <w:r w:rsidRPr="00C73F3D">
        <w:rPr>
          <w:color w:val="000000" w:themeColor="text1"/>
          <w:lang w:val="en-US"/>
        </w:rPr>
        <w:t xml:space="preserve">obligatorily requires completely oxygen-free microenvironments, demonstrating absolute intolerance to dissolved or gaseous oxygen. </w:t>
      </w:r>
      <w:r w:rsidRPr="00C44CC1">
        <w:rPr>
          <w:color w:val="000000" w:themeColor="text1"/>
          <w:lang w:val="en-US"/>
        </w:rPr>
        <w:t>The organism preferentially utilizes proteinaceous substrates</w:t>
      </w:r>
      <w:r w:rsidR="00756B08">
        <w:rPr>
          <w:color w:val="000000" w:themeColor="text1"/>
          <w:lang w:val="en-US"/>
        </w:rPr>
        <w:t xml:space="preserve">, </w:t>
      </w:r>
      <w:r w:rsidRPr="00C44CC1">
        <w:rPr>
          <w:color w:val="000000" w:themeColor="text1"/>
          <w:lang w:val="en-US"/>
        </w:rPr>
        <w:t>amino acids and peptide fragments</w:t>
      </w:r>
      <w:r w:rsidR="00756B08">
        <w:rPr>
          <w:color w:val="000000" w:themeColor="text1"/>
          <w:lang w:val="en-US"/>
        </w:rPr>
        <w:t xml:space="preserve">, </w:t>
      </w:r>
      <w:r w:rsidRPr="00C44CC1">
        <w:rPr>
          <w:color w:val="000000" w:themeColor="text1"/>
          <w:lang w:val="en-US"/>
        </w:rPr>
        <w:t>as primary carbon and energy sources, catabolizing these nitrogen-containing compounds via the Embden-Meyerhof-Parnas glycolytic pathway and glucose-oxidative routes operating under strictly anaerobic conditions. This metabolic specialization in proteolysis reflects evolutionary adaptation to the nutrient composition of subgingival ecosystems, where protein degradation products predominate and carbohydrate availability remains limited</w:t>
      </w:r>
      <w:r w:rsidR="0041591C">
        <w:rPr>
          <w:color w:val="000000" w:themeColor="text1"/>
          <w:vertAlign w:val="superscript"/>
          <w:lang w:val="en-US"/>
        </w:rPr>
        <w:t>104</w:t>
      </w:r>
      <w:r w:rsidRPr="00C44CC1">
        <w:rPr>
          <w:color w:val="000000" w:themeColor="text1"/>
          <w:lang w:val="en-US"/>
        </w:rPr>
        <w:t>.</w:t>
      </w:r>
    </w:p>
    <w:p w14:paraId="5A247342" w14:textId="1C90D641" w:rsidR="00C73F3D" w:rsidRPr="00C44CC1" w:rsidRDefault="00C73F3D" w:rsidP="0099249E">
      <w:pPr>
        <w:spacing w:line="360" w:lineRule="auto"/>
        <w:jc w:val="both"/>
        <w:rPr>
          <w:color w:val="000000" w:themeColor="text1"/>
          <w:lang w:val="en-US"/>
        </w:rPr>
      </w:pPr>
      <w:r w:rsidRPr="00C44CC1">
        <w:rPr>
          <w:color w:val="000000" w:themeColor="text1"/>
          <w:lang w:val="en-US"/>
        </w:rPr>
        <w:t xml:space="preserve">The organism synthesizes extracellular enzymatic machinery targeting periodontal structural proteins, including collagenous tissues, fibronectin-containing matrices, and elastin components, through constitutively expressed extracellular proteolytic enzymes (both serine and cysteine protease classes), generating short-chain volatile fatty acids and ammonia nitrogenous byproducts. These proteolytic decomposition products exert </w:t>
      </w:r>
      <w:r w:rsidRPr="00C44CC1">
        <w:rPr>
          <w:color w:val="000000" w:themeColor="text1"/>
          <w:lang w:val="en-US"/>
        </w:rPr>
        <w:lastRenderedPageBreak/>
        <w:t>notable cytotoxic activity against host cells and antimicrobial peptides.</w:t>
      </w:r>
      <w:r w:rsidR="001A69DE">
        <w:rPr>
          <w:color w:val="000000" w:themeColor="text1"/>
          <w:lang w:val="en-US"/>
        </w:rPr>
        <w:t xml:space="preserve"> </w:t>
      </w:r>
      <w:r w:rsidRPr="001A0DDC">
        <w:rPr>
          <w:i/>
          <w:iCs/>
          <w:color w:val="000000" w:themeColor="text1"/>
          <w:lang w:val="en-US"/>
        </w:rPr>
        <w:t>P. intermedia</w:t>
      </w:r>
      <w:r w:rsidR="001A69DE">
        <w:rPr>
          <w:color w:val="000000" w:themeColor="text1"/>
          <w:lang w:val="en-US"/>
        </w:rPr>
        <w:t xml:space="preserve"> </w:t>
      </w:r>
      <w:r w:rsidRPr="00C44CC1">
        <w:rPr>
          <w:color w:val="000000" w:themeColor="text1"/>
          <w:lang w:val="en-US"/>
        </w:rPr>
        <w:t>demonstrates metabolic flexibility permitting catabolism of diverse carbohydrate and protein substrates, enabling ecological survival across both health-associated (supragingival plaque) and disease-associated (subgingival calculus) microenvironments</w:t>
      </w:r>
      <w:r w:rsidR="009564D1">
        <w:rPr>
          <w:rStyle w:val="Rimandonotadichiusura"/>
          <w:color w:val="000000" w:themeColor="text1"/>
          <w:lang w:val="en-US"/>
        </w:rPr>
        <w:endnoteReference w:id="106"/>
      </w:r>
      <w:r w:rsidRPr="00C44CC1">
        <w:rPr>
          <w:color w:val="000000" w:themeColor="text1"/>
          <w:lang w:val="en-US"/>
        </w:rPr>
        <w:t>.</w:t>
      </w:r>
    </w:p>
    <w:p w14:paraId="507D8687" w14:textId="15902EED" w:rsidR="00C73F3D" w:rsidRPr="00C44CC1" w:rsidRDefault="00C73F3D" w:rsidP="0099249E">
      <w:pPr>
        <w:spacing w:line="360" w:lineRule="auto"/>
        <w:jc w:val="both"/>
        <w:rPr>
          <w:color w:val="000000" w:themeColor="text1"/>
          <w:lang w:val="en-US"/>
        </w:rPr>
      </w:pPr>
      <w:r w:rsidRPr="00C44CC1">
        <w:rPr>
          <w:color w:val="000000" w:themeColor="text1"/>
          <w:lang w:val="en-US"/>
        </w:rPr>
        <w:t>Observable extracellular proteolytic activity generates characteristic hemolytic zones (cleared erythrocyte areas) on blood-supplemented culture media</w:t>
      </w:r>
      <w:r w:rsidR="00756B08">
        <w:rPr>
          <w:color w:val="000000" w:themeColor="text1"/>
          <w:lang w:val="en-US"/>
        </w:rPr>
        <w:t xml:space="preserve">, </w:t>
      </w:r>
      <w:r w:rsidRPr="00C44CC1">
        <w:rPr>
          <w:color w:val="000000" w:themeColor="text1"/>
          <w:lang w:val="en-US"/>
        </w:rPr>
        <w:t>hemolysis patterns distinctly diagnostic for this species. Colonial morphology typically presents as smooth, lustrous formations with dark pigmentation resulting from accumulation of iron-protoporphyrin complexes liberated from hemoglobin through enzymatic fragmentation via the interpain A cysteine protease pathway</w:t>
      </w:r>
      <w:r w:rsidR="00797F6C">
        <w:rPr>
          <w:rStyle w:val="Rimandonotadichiusura"/>
          <w:color w:val="000000" w:themeColor="text1"/>
          <w:lang w:val="en-US"/>
        </w:rPr>
        <w:endnoteReference w:id="107"/>
      </w:r>
      <w:r w:rsidR="00797F6C">
        <w:rPr>
          <w:rStyle w:val="Rimandonotadichiusura"/>
          <w:color w:val="000000" w:themeColor="text1"/>
          <w:lang w:val="en-US"/>
        </w:rPr>
        <w:endnoteReference w:id="108"/>
      </w:r>
      <w:r w:rsidRPr="00C44CC1">
        <w:rPr>
          <w:color w:val="000000" w:themeColor="text1"/>
          <w:lang w:val="en-US"/>
        </w:rPr>
        <w:t>.</w:t>
      </w:r>
    </w:p>
    <w:p w14:paraId="2F313232" w14:textId="3BDBD5F4" w:rsidR="0099249E" w:rsidRDefault="0042772B" w:rsidP="0099249E">
      <w:pPr>
        <w:jc w:val="both"/>
        <w:rPr>
          <w:color w:val="000000" w:themeColor="text1"/>
          <w:lang w:val="en-US"/>
        </w:rPr>
      </w:pPr>
      <w:r>
        <w:rPr>
          <w:rFonts w:eastAsiaTheme="minorEastAsia"/>
          <w:i/>
          <w:iCs/>
          <w:noProof/>
          <w:sz w:val="28"/>
          <w:szCs w:val="28"/>
          <w:lang w:val="en-US"/>
        </w:rPr>
        <w:drawing>
          <wp:inline distT="0" distB="0" distL="0" distR="0" wp14:anchorId="7BABC149" wp14:editId="072310F3">
            <wp:extent cx="3149600" cy="2946400"/>
            <wp:effectExtent l="0" t="0" r="0" b="0"/>
            <wp:docPr id="426395435" name="Immagine 10" descr="Immagine che contiene cibo, arancione, caramel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5435" name="Immagine 10" descr="Immagine che contiene cibo, arancione, caramella&#10;&#10;Descrizione generata automaticamente"/>
                    <pic:cNvPicPr/>
                  </pic:nvPicPr>
                  <pic:blipFill>
                    <a:blip r:embed="rId14"/>
                    <a:stretch>
                      <a:fillRect/>
                    </a:stretch>
                  </pic:blipFill>
                  <pic:spPr>
                    <a:xfrm>
                      <a:off x="0" y="0"/>
                      <a:ext cx="3149600" cy="2946400"/>
                    </a:xfrm>
                    <a:prstGeom prst="rect">
                      <a:avLst/>
                    </a:prstGeom>
                  </pic:spPr>
                </pic:pic>
              </a:graphicData>
            </a:graphic>
          </wp:inline>
        </w:drawing>
      </w:r>
    </w:p>
    <w:p w14:paraId="5CDFC7A5" w14:textId="77777777" w:rsidR="009D6912" w:rsidRDefault="009D6912" w:rsidP="0099249E">
      <w:pPr>
        <w:jc w:val="both"/>
        <w:rPr>
          <w:color w:val="000000" w:themeColor="text1"/>
          <w:lang w:val="en-US"/>
        </w:rPr>
      </w:pPr>
    </w:p>
    <w:p w14:paraId="6179475B" w14:textId="77777777" w:rsidR="00EE4819" w:rsidRDefault="009D6912" w:rsidP="00FA267C">
      <w:pPr>
        <w:jc w:val="both"/>
        <w:rPr>
          <w:color w:val="000000" w:themeColor="text1"/>
          <w:sz w:val="18"/>
          <w:szCs w:val="18"/>
          <w:lang w:val="en-US"/>
        </w:rPr>
      </w:pPr>
      <w:r w:rsidRPr="00FA267C">
        <w:rPr>
          <w:b/>
          <w:bCs/>
          <w:color w:val="000000" w:themeColor="text1"/>
          <w:sz w:val="18"/>
          <w:szCs w:val="18"/>
          <w:lang w:val="en-US"/>
        </w:rPr>
        <w:t xml:space="preserve">Figure 4. Representative microscopic image of </w:t>
      </w:r>
      <w:r w:rsidR="00F14A83" w:rsidRPr="00FA267C">
        <w:rPr>
          <w:b/>
          <w:bCs/>
          <w:color w:val="000000" w:themeColor="text1"/>
          <w:sz w:val="18"/>
          <w:szCs w:val="18"/>
          <w:lang w:val="en-US"/>
        </w:rPr>
        <w:t>Prevotella Intermedia.</w:t>
      </w:r>
      <w:r w:rsidR="00EE4819">
        <w:rPr>
          <w:color w:val="000000" w:themeColor="text1"/>
          <w:sz w:val="18"/>
          <w:szCs w:val="18"/>
          <w:lang w:val="en-US"/>
        </w:rPr>
        <w:t xml:space="preserve"> </w:t>
      </w:r>
    </w:p>
    <w:p w14:paraId="4453446B" w14:textId="4D982968" w:rsidR="009D6912" w:rsidRPr="00FA267C" w:rsidRDefault="00F14A83" w:rsidP="00FA267C">
      <w:pPr>
        <w:jc w:val="both"/>
        <w:rPr>
          <w:color w:val="000000" w:themeColor="text1"/>
          <w:sz w:val="18"/>
          <w:szCs w:val="18"/>
          <w:lang w:val="en-US"/>
        </w:rPr>
      </w:pPr>
      <w:r w:rsidRPr="00FA267C">
        <w:rPr>
          <w:color w:val="000000" w:themeColor="text1"/>
          <w:sz w:val="18"/>
          <w:szCs w:val="18"/>
          <w:lang w:val="en-US"/>
        </w:rPr>
        <w:t>Gram-negative anaerobic rods displaying a short, rounded morphology, consistent with Prevotella species commonly detected within the oral microbiota.</w:t>
      </w:r>
    </w:p>
    <w:p w14:paraId="4F8E3FC0" w14:textId="77777777" w:rsidR="000355A2" w:rsidRPr="005D0FFE" w:rsidRDefault="000355A2" w:rsidP="00797F6C">
      <w:pPr>
        <w:spacing w:line="360" w:lineRule="auto"/>
        <w:rPr>
          <w:lang w:val="en-US"/>
        </w:rPr>
      </w:pPr>
    </w:p>
    <w:p w14:paraId="43C4C88F" w14:textId="47CDB231" w:rsidR="00E90FCB" w:rsidRPr="00615C60" w:rsidRDefault="000355A2" w:rsidP="00797F6C">
      <w:pPr>
        <w:pStyle w:val="Titolo3"/>
        <w:spacing w:line="360" w:lineRule="auto"/>
        <w:rPr>
          <w:sz w:val="32"/>
          <w:szCs w:val="32"/>
          <w:lang w:val="en-US"/>
        </w:rPr>
      </w:pPr>
      <w:bookmarkStart w:id="14" w:name="_Toc219243278"/>
      <w:r w:rsidRPr="004D10FB">
        <w:rPr>
          <w:i/>
          <w:iCs/>
          <w:sz w:val="28"/>
          <w:szCs w:val="28"/>
          <w:lang w:val="en-US"/>
        </w:rPr>
        <w:t>1.1.</w:t>
      </w:r>
      <w:r w:rsidR="008124FE" w:rsidRPr="004D10FB">
        <w:rPr>
          <w:i/>
          <w:iCs/>
          <w:sz w:val="28"/>
          <w:szCs w:val="28"/>
          <w:lang w:val="en-US"/>
        </w:rPr>
        <w:t>4</w:t>
      </w:r>
      <w:r w:rsidRPr="004D10FB">
        <w:rPr>
          <w:i/>
          <w:iCs/>
          <w:sz w:val="28"/>
          <w:szCs w:val="28"/>
          <w:lang w:val="en-US"/>
        </w:rPr>
        <w:t>.2</w:t>
      </w:r>
      <w:r w:rsidRPr="00615C60">
        <w:rPr>
          <w:sz w:val="28"/>
          <w:szCs w:val="28"/>
          <w:lang w:val="en-US"/>
        </w:rPr>
        <w:t xml:space="preserve"> </w:t>
      </w:r>
      <w:r w:rsidR="00E90FCB" w:rsidRPr="008124FE">
        <w:rPr>
          <w:i/>
          <w:iCs/>
          <w:sz w:val="28"/>
          <w:szCs w:val="28"/>
          <w:lang w:val="en-US"/>
        </w:rPr>
        <w:t>Virulence Factors of</w:t>
      </w:r>
      <w:r w:rsidR="00E90FCB" w:rsidRPr="00615C60">
        <w:rPr>
          <w:sz w:val="28"/>
          <w:szCs w:val="28"/>
          <w:lang w:val="en-US"/>
        </w:rPr>
        <w:t xml:space="preserve"> </w:t>
      </w:r>
      <w:r w:rsidR="00E90FCB" w:rsidRPr="00615C60">
        <w:rPr>
          <w:i/>
          <w:iCs/>
          <w:sz w:val="28"/>
          <w:szCs w:val="28"/>
          <w:lang w:val="en-US"/>
        </w:rPr>
        <w:t>Prevotella intermedia</w:t>
      </w:r>
      <w:bookmarkEnd w:id="14"/>
    </w:p>
    <w:p w14:paraId="368D7673" w14:textId="0EB4632E" w:rsidR="00C73F3D" w:rsidRPr="00C44CC1" w:rsidRDefault="00C73F3D" w:rsidP="00134FD1">
      <w:pPr>
        <w:spacing w:line="360" w:lineRule="auto"/>
        <w:jc w:val="both"/>
        <w:rPr>
          <w:color w:val="000000" w:themeColor="text1"/>
          <w:lang w:val="en-US"/>
        </w:rPr>
      </w:pPr>
      <w:r w:rsidRPr="00100E57">
        <w:rPr>
          <w:i/>
          <w:iCs/>
          <w:color w:val="000000" w:themeColor="text1"/>
          <w:lang w:val="en-US"/>
        </w:rPr>
        <w:t>Prevotella intermedia</w:t>
      </w:r>
      <w:r w:rsidR="001A69DE">
        <w:rPr>
          <w:color w:val="000000" w:themeColor="text1"/>
          <w:lang w:val="en-US"/>
        </w:rPr>
        <w:t xml:space="preserve"> </w:t>
      </w:r>
      <w:r w:rsidRPr="00C44CC1">
        <w:rPr>
          <w:color w:val="000000" w:themeColor="text1"/>
          <w:lang w:val="en-US"/>
        </w:rPr>
        <w:t>accomplishes pathogenic functionality through an integrated collection of extracellular virulence factors that cooperatively promote tissue invasion, intracellular bacterial persistence, and circumvention of host immune effector mechanisms. The dominant virulence determinants</w:t>
      </w:r>
      <w:r w:rsidR="00B42D3A">
        <w:rPr>
          <w:color w:val="000000" w:themeColor="text1"/>
          <w:lang w:val="en-US"/>
        </w:rPr>
        <w:t xml:space="preserve">, </w:t>
      </w:r>
      <w:r w:rsidRPr="00C44CC1">
        <w:rPr>
          <w:color w:val="000000" w:themeColor="text1"/>
          <w:lang w:val="en-US"/>
        </w:rPr>
        <w:t>specifically the gram-negative endotoxin and cysteine proteolytic enzymes</w:t>
      </w:r>
      <w:r w:rsidR="00B42D3A">
        <w:rPr>
          <w:color w:val="000000" w:themeColor="text1"/>
          <w:lang w:val="en-US"/>
        </w:rPr>
        <w:t xml:space="preserve">, </w:t>
      </w:r>
      <w:r w:rsidRPr="00C44CC1">
        <w:rPr>
          <w:color w:val="000000" w:themeColor="text1"/>
          <w:lang w:val="en-US"/>
        </w:rPr>
        <w:t xml:space="preserve">exert multiplex effects encompassing direct </w:t>
      </w:r>
      <w:r w:rsidRPr="00C44CC1">
        <w:rPr>
          <w:color w:val="000000" w:themeColor="text1"/>
          <w:lang w:val="en-US"/>
        </w:rPr>
        <w:lastRenderedPageBreak/>
        <w:t>tissue destructive activity, pro-inflammatory signal amplification, and simultaneous evasion of complement-mediated and antibody-dependent bactericidal attack</w:t>
      </w:r>
      <w:r w:rsidR="00797F6C">
        <w:rPr>
          <w:rStyle w:val="Rimandonotadichiusura"/>
          <w:color w:val="000000" w:themeColor="text1"/>
          <w:lang w:val="en-US"/>
        </w:rPr>
        <w:endnoteReference w:id="109"/>
      </w:r>
      <w:r w:rsidRPr="00C44CC1">
        <w:rPr>
          <w:color w:val="000000" w:themeColor="text1"/>
          <w:lang w:val="en-US"/>
        </w:rPr>
        <w:t>.</w:t>
      </w:r>
    </w:p>
    <w:p w14:paraId="6C05E108" w14:textId="77777777" w:rsidR="00C73F3D" w:rsidRPr="004214E0" w:rsidRDefault="00C73F3D" w:rsidP="00134FD1">
      <w:pPr>
        <w:spacing w:line="360" w:lineRule="auto"/>
        <w:jc w:val="both"/>
        <w:rPr>
          <w:i/>
          <w:iCs/>
          <w:color w:val="000000" w:themeColor="text1"/>
          <w:lang w:val="en-US"/>
        </w:rPr>
      </w:pPr>
      <w:r w:rsidRPr="004214E0">
        <w:rPr>
          <w:i/>
          <w:iCs/>
          <w:color w:val="000000" w:themeColor="text1"/>
          <w:lang w:val="en-US"/>
        </w:rPr>
        <w:t>Lipopolysaccharide Endotoxin and Pattern Recognition Mechanisms</w:t>
      </w:r>
    </w:p>
    <w:p w14:paraId="3896E625" w14:textId="55707351" w:rsidR="00C73F3D" w:rsidRPr="00C44CC1" w:rsidRDefault="00C73F3D" w:rsidP="00134FD1">
      <w:pPr>
        <w:spacing w:line="360" w:lineRule="auto"/>
        <w:jc w:val="both"/>
        <w:rPr>
          <w:color w:val="000000" w:themeColor="text1"/>
          <w:lang w:val="en-US"/>
        </w:rPr>
      </w:pPr>
      <w:r w:rsidRPr="00C44CC1">
        <w:rPr>
          <w:color w:val="000000" w:themeColor="text1"/>
          <w:lang w:val="en-US"/>
        </w:rPr>
        <w:t xml:space="preserve">The gram-negative bacterial envelope incorporates lipopolysaccharide </w:t>
      </w:r>
      <w:r w:rsidRPr="00B42D3A">
        <w:rPr>
          <w:i/>
          <w:iCs/>
          <w:color w:val="000000" w:themeColor="text1"/>
          <w:lang w:val="en-US"/>
        </w:rPr>
        <w:t>(LPS)</w:t>
      </w:r>
      <w:r w:rsidR="00756B08" w:rsidRPr="00B42D3A">
        <w:rPr>
          <w:i/>
          <w:iCs/>
          <w:color w:val="000000" w:themeColor="text1"/>
          <w:lang w:val="en-US"/>
        </w:rPr>
        <w:t>,</w:t>
      </w:r>
      <w:r w:rsidR="00756B08">
        <w:rPr>
          <w:color w:val="000000" w:themeColor="text1"/>
          <w:lang w:val="en-US"/>
        </w:rPr>
        <w:t xml:space="preserve"> </w:t>
      </w:r>
      <w:r w:rsidRPr="00C44CC1">
        <w:rPr>
          <w:color w:val="000000" w:themeColor="text1"/>
          <w:lang w:val="en-US"/>
        </w:rPr>
        <w:t xml:space="preserve">a bioactive lipid-polysaccharide macromolecule recognized as a potent pathogen-associated molecular pattern </w:t>
      </w:r>
      <w:r w:rsidRPr="00B42D3A">
        <w:rPr>
          <w:i/>
          <w:iCs/>
          <w:color w:val="000000" w:themeColor="text1"/>
          <w:lang w:val="en-US"/>
        </w:rPr>
        <w:t>(PAMP)</w:t>
      </w:r>
      <w:r w:rsidRPr="00C44CC1">
        <w:rPr>
          <w:color w:val="000000" w:themeColor="text1"/>
          <w:lang w:val="en-US"/>
        </w:rPr>
        <w:t xml:space="preserve"> engaged by Toll-like receptor 4 </w:t>
      </w:r>
      <w:r w:rsidRPr="00B42D3A">
        <w:rPr>
          <w:i/>
          <w:iCs/>
          <w:color w:val="000000" w:themeColor="text1"/>
          <w:lang w:val="en-US"/>
        </w:rPr>
        <w:t>(TLR4)</w:t>
      </w:r>
      <w:r w:rsidRPr="00C44CC1">
        <w:rPr>
          <w:color w:val="000000" w:themeColor="text1"/>
          <w:lang w:val="en-US"/>
        </w:rPr>
        <w:t xml:space="preserve"> on innate immune cell populations.</w:t>
      </w:r>
      <w:r w:rsidR="00756B08">
        <w:rPr>
          <w:color w:val="000000" w:themeColor="text1"/>
          <w:lang w:val="en-US"/>
        </w:rPr>
        <w:t xml:space="preserve"> </w:t>
      </w:r>
      <w:r w:rsidRPr="00756B08">
        <w:rPr>
          <w:i/>
          <w:iCs/>
          <w:color w:val="000000" w:themeColor="text1"/>
          <w:lang w:val="en-US"/>
        </w:rPr>
        <w:t>P. intermedia</w:t>
      </w:r>
      <w:r w:rsidRPr="00C44CC1">
        <w:rPr>
          <w:color w:val="000000" w:themeColor="text1"/>
          <w:lang w:val="en-US"/>
        </w:rPr>
        <w:t xml:space="preserve">-derived LPS stimulates elevated interleukin-8 expression within gingival fibroblast populations, triggers pro-inflammatory gene expression cascades in oral epithelial cell lines </w:t>
      </w:r>
      <w:r w:rsidRPr="00B42D3A">
        <w:rPr>
          <w:i/>
          <w:iCs/>
          <w:color w:val="000000" w:themeColor="text1"/>
          <w:lang w:val="en-US"/>
        </w:rPr>
        <w:t xml:space="preserve">(KB-designated cells), </w:t>
      </w:r>
      <w:r w:rsidRPr="00C44CC1">
        <w:rPr>
          <w:color w:val="000000" w:themeColor="text1"/>
          <w:lang w:val="en-US"/>
        </w:rPr>
        <w:t>and simultaneously impairs phagocytic capability and chemoattractant-driven motility in human dental-derived stem cell preparations. Distinct from endotoxin-mediated effects,</w:t>
      </w:r>
      <w:r w:rsidR="001A0DDC">
        <w:rPr>
          <w:color w:val="000000" w:themeColor="text1"/>
          <w:lang w:val="en-US"/>
        </w:rPr>
        <w:t xml:space="preserve"> </w:t>
      </w:r>
      <w:r w:rsidRPr="001A0DDC">
        <w:rPr>
          <w:i/>
          <w:iCs/>
          <w:color w:val="000000" w:themeColor="text1"/>
          <w:lang w:val="en-US"/>
        </w:rPr>
        <w:t>P. intermedia</w:t>
      </w:r>
      <w:r w:rsidR="001A0DDC">
        <w:rPr>
          <w:color w:val="000000" w:themeColor="text1"/>
          <w:lang w:val="en-US"/>
        </w:rPr>
        <w:t xml:space="preserve"> </w:t>
      </w:r>
      <w:r w:rsidRPr="00C44CC1">
        <w:rPr>
          <w:color w:val="000000" w:themeColor="text1"/>
          <w:lang w:val="en-US"/>
        </w:rPr>
        <w:t>secretes glycoprotein molecules (though not LPS itself) that selectively stimulate production of myeloid differentiation factors</w:t>
      </w:r>
      <w:r w:rsidR="00756B08">
        <w:rPr>
          <w:color w:val="000000" w:themeColor="text1"/>
          <w:lang w:val="en-US"/>
        </w:rPr>
        <w:t xml:space="preserve"> – </w:t>
      </w:r>
      <w:r w:rsidRPr="00C44CC1">
        <w:rPr>
          <w:color w:val="000000" w:themeColor="text1"/>
          <w:lang w:val="en-US"/>
        </w:rPr>
        <w:t>granulocyte-colony stimulating factor (G-CSF) and granulocyte-macrophage colony-stimulating factor (GM-CSF)</w:t>
      </w:r>
      <w:r w:rsidR="00756B08">
        <w:rPr>
          <w:color w:val="000000" w:themeColor="text1"/>
          <w:lang w:val="en-US"/>
        </w:rPr>
        <w:t xml:space="preserve"> – </w:t>
      </w:r>
      <w:r w:rsidRPr="00C44CC1">
        <w:rPr>
          <w:color w:val="000000" w:themeColor="text1"/>
          <w:lang w:val="en-US"/>
        </w:rPr>
        <w:t>within oral epithelial keratinocyte populations, orchestrating neutrophil and macrophage recruitment toward inflammatory periodontal lesion sites</w:t>
      </w:r>
      <w:r w:rsidR="00B51F4D">
        <w:rPr>
          <w:rStyle w:val="Rimandonotadichiusura"/>
          <w:color w:val="000000" w:themeColor="text1"/>
          <w:lang w:val="en-US"/>
        </w:rPr>
        <w:endnoteReference w:id="110"/>
      </w:r>
      <w:r w:rsidRPr="00C44CC1">
        <w:rPr>
          <w:color w:val="000000" w:themeColor="text1"/>
          <w:lang w:val="en-US"/>
        </w:rPr>
        <w:t>.</w:t>
      </w:r>
    </w:p>
    <w:p w14:paraId="1007E50C" w14:textId="77777777" w:rsidR="00C73F3D" w:rsidRPr="004214E0" w:rsidRDefault="00C73F3D" w:rsidP="00134FD1">
      <w:pPr>
        <w:spacing w:line="360" w:lineRule="auto"/>
        <w:jc w:val="both"/>
        <w:rPr>
          <w:i/>
          <w:iCs/>
          <w:color w:val="000000" w:themeColor="text1"/>
          <w:lang w:val="en-US"/>
        </w:rPr>
      </w:pPr>
      <w:r w:rsidRPr="004214E0">
        <w:rPr>
          <w:i/>
          <w:iCs/>
          <w:color w:val="000000" w:themeColor="text1"/>
          <w:lang w:val="en-US"/>
        </w:rPr>
        <w:t>Interpain A: A Multifunctional 90-Kilodalton Cysteine Protease</w:t>
      </w:r>
    </w:p>
    <w:p w14:paraId="19EABB67" w14:textId="2651DBFF" w:rsidR="00C73F3D" w:rsidRPr="00C44CC1" w:rsidRDefault="00C73F3D" w:rsidP="00134FD1">
      <w:pPr>
        <w:spacing w:line="360" w:lineRule="auto"/>
        <w:jc w:val="both"/>
        <w:rPr>
          <w:color w:val="000000" w:themeColor="text1"/>
          <w:lang w:val="en-US"/>
        </w:rPr>
      </w:pPr>
      <w:r w:rsidRPr="00100E57">
        <w:rPr>
          <w:i/>
          <w:iCs/>
          <w:color w:val="000000" w:themeColor="text1"/>
          <w:lang w:val="en-US"/>
        </w:rPr>
        <w:t>Prevotella intermedia</w:t>
      </w:r>
      <w:r w:rsidR="004214E0">
        <w:rPr>
          <w:color w:val="000000" w:themeColor="text1"/>
          <w:lang w:val="en-US"/>
        </w:rPr>
        <w:t xml:space="preserve"> </w:t>
      </w:r>
      <w:r w:rsidRPr="00C44CC1">
        <w:rPr>
          <w:color w:val="000000" w:themeColor="text1"/>
          <w:lang w:val="en-US"/>
        </w:rPr>
        <w:t>secretes interpain A (designated InpA), a 90-kilodalton-mass protease with cysteine residues within the catalytic center, structurally homologous to streptopain (SpeB) produced by the human pathogen Streptococcus pyogenes. This enzyme accomplishes dual critical functions: (1) extraction and acquisition of iron-protoporphyrin nutrients from host blood hemoglobin through stepwise proteolytic fragmentation, and (2) inactivation and neutralization of serum complement factors, antibody immunoglobulins, and antimicrobial peptide molecules</w:t>
      </w:r>
      <w:r w:rsidR="00756B08">
        <w:rPr>
          <w:color w:val="000000" w:themeColor="text1"/>
          <w:lang w:val="en-US"/>
        </w:rPr>
        <w:t xml:space="preserve">, </w:t>
      </w:r>
      <w:r w:rsidRPr="00C44CC1">
        <w:rPr>
          <w:color w:val="000000" w:themeColor="text1"/>
          <w:lang w:val="en-US"/>
        </w:rPr>
        <w:t>effector molecules constituting the bactericidal potential of human blood serum</w:t>
      </w:r>
      <w:r w:rsidR="004214E0">
        <w:rPr>
          <w:rStyle w:val="Rimandonotadichiusura"/>
          <w:color w:val="000000" w:themeColor="text1"/>
          <w:lang w:val="en-US"/>
        </w:rPr>
        <w:endnoteReference w:id="111"/>
      </w:r>
      <w:r w:rsidR="004214E0">
        <w:rPr>
          <w:rStyle w:val="Rimandonotadichiusura"/>
          <w:color w:val="000000" w:themeColor="text1"/>
          <w:lang w:val="en-US"/>
        </w:rPr>
        <w:endnoteReference w:id="112"/>
      </w:r>
      <w:r w:rsidRPr="00C44CC1">
        <w:rPr>
          <w:color w:val="000000" w:themeColor="text1"/>
          <w:lang w:val="en-US"/>
        </w:rPr>
        <w:t>.</w:t>
      </w:r>
    </w:p>
    <w:p w14:paraId="5D24212D" w14:textId="2BC3DBCC" w:rsidR="00C73F3D" w:rsidRPr="00C44CC1" w:rsidRDefault="00C73F3D" w:rsidP="00134FD1">
      <w:pPr>
        <w:spacing w:line="360" w:lineRule="auto"/>
        <w:jc w:val="both"/>
        <w:rPr>
          <w:color w:val="000000" w:themeColor="text1"/>
          <w:lang w:val="en-US"/>
        </w:rPr>
      </w:pPr>
      <w:r w:rsidRPr="00C44CC1">
        <w:rPr>
          <w:color w:val="000000" w:themeColor="text1"/>
          <w:lang w:val="en-US"/>
        </w:rPr>
        <w:t>The proteolytic mechanism of InpA-mediated hemoglobin degradation proceeds through sequential chemical transformation. At physiologic neutral pH (7.5), InpA catalyzes oxidation of oxygen-carrying oxyhemoglobin to hydroxymethemoglobin derivatives. Under subgingival acidic conditions (pH &lt;6) generated by bacterial saccharolytic metabolism, the resulting methaemoglobin</w:t>
      </w:r>
      <w:r w:rsidR="00756B08">
        <w:rPr>
          <w:color w:val="000000" w:themeColor="text1"/>
          <w:lang w:val="en-US"/>
        </w:rPr>
        <w:t xml:space="preserve"> </w:t>
      </w:r>
      <w:r w:rsidRPr="00C44CC1">
        <w:rPr>
          <w:color w:val="000000" w:themeColor="text1"/>
          <w:lang w:val="en-US"/>
        </w:rPr>
        <w:t>in either aqueous or acidic-modified form</w:t>
      </w:r>
      <w:r w:rsidR="00756B08">
        <w:rPr>
          <w:color w:val="000000" w:themeColor="text1"/>
          <w:lang w:val="en-US"/>
        </w:rPr>
        <w:t xml:space="preserve"> </w:t>
      </w:r>
      <w:r w:rsidRPr="00C44CC1">
        <w:rPr>
          <w:color w:val="000000" w:themeColor="text1"/>
          <w:lang w:val="en-US"/>
        </w:rPr>
        <w:t xml:space="preserve">becomes susceptible to InpA enzymatic cleavage, liberating iron-containing porphyrin molecular fragments. Quantitative enzyme kinetics demonstrate that InpA accelerates </w:t>
      </w:r>
      <w:r w:rsidRPr="00C44CC1">
        <w:rPr>
          <w:color w:val="000000" w:themeColor="text1"/>
          <w:lang w:val="en-US"/>
        </w:rPr>
        <w:lastRenderedPageBreak/>
        <w:t>spontaneous hemoglobin auto-oxidation approximately threefold relative to uninhibited control reactions. Specific inhibition employing cysteine protease inhibitors (such as E-64 compound) reduces oxidation velocity by approximately 80%, establishing that enzymatic proteolysis constitutes the primary mechanism mediating hemoglobin-degradation pathways.</w:t>
      </w:r>
    </w:p>
    <w:p w14:paraId="4E19B57B" w14:textId="542E7109" w:rsidR="00C73F3D" w:rsidRPr="00C44CC1" w:rsidRDefault="00C73F3D" w:rsidP="00134FD1">
      <w:pPr>
        <w:spacing w:line="360" w:lineRule="auto"/>
        <w:jc w:val="both"/>
        <w:rPr>
          <w:color w:val="000000" w:themeColor="text1"/>
          <w:lang w:val="en-US"/>
        </w:rPr>
      </w:pPr>
      <w:r w:rsidRPr="00A76518">
        <w:rPr>
          <w:i/>
          <w:iCs/>
          <w:color w:val="000000" w:themeColor="text1"/>
          <w:lang w:val="en-US"/>
        </w:rPr>
        <w:t>P. intermedia</w:t>
      </w:r>
      <w:r w:rsidR="001A69DE">
        <w:rPr>
          <w:color w:val="000000" w:themeColor="text1"/>
          <w:lang w:val="en-US"/>
        </w:rPr>
        <w:t xml:space="preserve"> </w:t>
      </w:r>
      <w:r w:rsidRPr="00C44CC1">
        <w:rPr>
          <w:color w:val="000000" w:themeColor="text1"/>
          <w:lang w:val="en-US"/>
        </w:rPr>
        <w:t>isolates expressing InpA demonstrate substantially enhanced resistance to serum complement-mediated bactericidal mechanisms relative to isolates lacking this protease, with complement-resistance substantially diminished following administration of cysteine protease inhibitors. InpA enzymatic activity synergistically amplifies the complement-inactivating effects of gingipain proteases generated by</w:t>
      </w:r>
      <w:r w:rsidR="001A69DE">
        <w:rPr>
          <w:color w:val="000000" w:themeColor="text1"/>
          <w:lang w:val="en-US"/>
        </w:rPr>
        <w:t xml:space="preserve"> </w:t>
      </w:r>
      <w:r w:rsidRPr="00100E57">
        <w:rPr>
          <w:i/>
          <w:iCs/>
          <w:color w:val="000000" w:themeColor="text1"/>
          <w:lang w:val="en-US"/>
        </w:rPr>
        <w:t>P. gingivalis</w:t>
      </w:r>
      <w:r w:rsidRPr="00C44CC1">
        <w:rPr>
          <w:color w:val="000000" w:themeColor="text1"/>
          <w:lang w:val="en-US"/>
        </w:rPr>
        <w:t>, a phenomenon of considerable significance within mixed-organism biofilms containing both pathogenic species</w:t>
      </w:r>
      <w:r w:rsidR="00B51F4D">
        <w:rPr>
          <w:color w:val="000000" w:themeColor="text1"/>
          <w:vertAlign w:val="superscript"/>
          <w:lang w:val="en-US"/>
        </w:rPr>
        <w:t>112</w:t>
      </w:r>
      <w:r w:rsidRPr="00C44CC1">
        <w:rPr>
          <w:color w:val="000000" w:themeColor="text1"/>
          <w:lang w:val="en-US"/>
        </w:rPr>
        <w:t>.</w:t>
      </w:r>
    </w:p>
    <w:p w14:paraId="4B540C5F" w14:textId="41BCA119" w:rsidR="00C73F3D" w:rsidRPr="00C44CC1" w:rsidRDefault="00C73F3D" w:rsidP="00134FD1">
      <w:pPr>
        <w:spacing w:line="360" w:lineRule="auto"/>
        <w:jc w:val="both"/>
        <w:rPr>
          <w:color w:val="000000" w:themeColor="text1"/>
          <w:lang w:val="en-US"/>
        </w:rPr>
      </w:pPr>
      <w:r w:rsidRPr="00C44CC1">
        <w:rPr>
          <w:color w:val="000000" w:themeColor="text1"/>
          <w:lang w:val="en-US"/>
        </w:rPr>
        <w:t>The bacterium synthesizes hemin-binding protein variants</w:t>
      </w:r>
      <w:r w:rsidR="00756B08">
        <w:rPr>
          <w:color w:val="000000" w:themeColor="text1"/>
          <w:lang w:val="en-US"/>
        </w:rPr>
        <w:t xml:space="preserve">, </w:t>
      </w:r>
      <w:r w:rsidRPr="00C44CC1">
        <w:rPr>
          <w:color w:val="000000" w:themeColor="text1"/>
          <w:lang w:val="en-US"/>
        </w:rPr>
        <w:t>specifically designated PinO and PinA homologs</w:t>
      </w:r>
      <w:r w:rsidR="00756B08">
        <w:rPr>
          <w:color w:val="000000" w:themeColor="text1"/>
          <w:lang w:val="en-US"/>
        </w:rPr>
        <w:t xml:space="preserve">, </w:t>
      </w:r>
      <w:r w:rsidRPr="00C44CC1">
        <w:rPr>
          <w:color w:val="000000" w:themeColor="text1"/>
          <w:lang w:val="en-US"/>
        </w:rPr>
        <w:t>which function as hemophore-like molecules facilitating iron-protoporphyrin acquisition from host albumin-hemin complexes. These proteins preferentially function under reducing microenvironmental conditions and operate through heme coordination mechanisms biochemically distinct from the</w:t>
      </w:r>
      <w:r w:rsidR="00100E57">
        <w:rPr>
          <w:color w:val="000000" w:themeColor="text1"/>
          <w:lang w:val="en-US"/>
        </w:rPr>
        <w:t xml:space="preserve"> </w:t>
      </w:r>
      <w:r w:rsidRPr="00100E57">
        <w:rPr>
          <w:i/>
          <w:iCs/>
          <w:color w:val="000000" w:themeColor="text1"/>
          <w:lang w:val="en-US"/>
        </w:rPr>
        <w:t>Porphyromonas gingivalis</w:t>
      </w:r>
      <w:r w:rsidR="00100E57">
        <w:rPr>
          <w:color w:val="000000" w:themeColor="text1"/>
          <w:lang w:val="en-US"/>
        </w:rPr>
        <w:t xml:space="preserve"> </w:t>
      </w:r>
      <w:r w:rsidRPr="00C44CC1">
        <w:rPr>
          <w:color w:val="000000" w:themeColor="text1"/>
          <w:lang w:val="en-US"/>
        </w:rPr>
        <w:t>HmuY hemophore system, employing methionine amino acid residues rather than histidine residues as primary iron-coordinating ligands</w:t>
      </w:r>
      <w:r w:rsidR="00134393">
        <w:rPr>
          <w:rStyle w:val="Rimandonotadichiusura"/>
          <w:color w:val="000000" w:themeColor="text1"/>
          <w:lang w:val="en-US"/>
        </w:rPr>
        <w:endnoteReference w:id="113"/>
      </w:r>
      <w:r w:rsidRPr="00C44CC1">
        <w:rPr>
          <w:color w:val="000000" w:themeColor="text1"/>
          <w:lang w:val="en-US"/>
        </w:rPr>
        <w:t>.</w:t>
      </w:r>
    </w:p>
    <w:p w14:paraId="726B666F" w14:textId="77777777" w:rsidR="00C73F3D" w:rsidRPr="00B22DD1" w:rsidRDefault="00C73F3D" w:rsidP="00134FD1">
      <w:pPr>
        <w:spacing w:line="360" w:lineRule="auto"/>
        <w:jc w:val="both"/>
        <w:rPr>
          <w:i/>
          <w:iCs/>
          <w:color w:val="000000" w:themeColor="text1"/>
          <w:lang w:val="en-US"/>
        </w:rPr>
      </w:pPr>
      <w:r w:rsidRPr="00B22DD1">
        <w:rPr>
          <w:i/>
          <w:iCs/>
          <w:color w:val="000000" w:themeColor="text1"/>
          <w:lang w:val="en-US"/>
        </w:rPr>
        <w:t>Proteolytic Diversity and Tissue-Degrading Enzyme Systems</w:t>
      </w:r>
    </w:p>
    <w:p w14:paraId="1D45ACEF" w14:textId="04CEFA00" w:rsidR="00C73F3D" w:rsidRPr="00C44CC1" w:rsidRDefault="00C73F3D" w:rsidP="00134FD1">
      <w:pPr>
        <w:spacing w:line="360" w:lineRule="auto"/>
        <w:jc w:val="both"/>
        <w:rPr>
          <w:color w:val="000000" w:themeColor="text1"/>
          <w:lang w:val="en-US"/>
        </w:rPr>
      </w:pPr>
      <w:r w:rsidRPr="00C44CC1">
        <w:rPr>
          <w:color w:val="000000" w:themeColor="text1"/>
          <w:lang w:val="en-US"/>
        </w:rPr>
        <w:t>Beyond interpain A,</w:t>
      </w:r>
      <w:r w:rsidR="001A69DE">
        <w:rPr>
          <w:color w:val="000000" w:themeColor="text1"/>
          <w:lang w:val="en-US"/>
        </w:rPr>
        <w:t xml:space="preserve"> </w:t>
      </w:r>
      <w:r w:rsidRPr="00A76518">
        <w:rPr>
          <w:i/>
          <w:iCs/>
          <w:color w:val="000000" w:themeColor="text1"/>
          <w:lang w:val="en-US"/>
        </w:rPr>
        <w:t>P. intermedia</w:t>
      </w:r>
      <w:r w:rsidR="00A76518">
        <w:rPr>
          <w:color w:val="000000" w:themeColor="text1"/>
          <w:lang w:val="en-US"/>
        </w:rPr>
        <w:t xml:space="preserve"> </w:t>
      </w:r>
      <w:r w:rsidRPr="00C44CC1">
        <w:rPr>
          <w:color w:val="000000" w:themeColor="text1"/>
          <w:lang w:val="en-US"/>
        </w:rPr>
        <w:t>manufactures a diverse array of tissue-destructive proteolytic enzymes conferring pathogenic capacity. Trypsin-like serine proteases actively degrade structural proteins essential for periodontal tissue architecture</w:t>
      </w:r>
      <w:r w:rsidR="00756B08">
        <w:rPr>
          <w:color w:val="000000" w:themeColor="text1"/>
          <w:lang w:val="en-US"/>
        </w:rPr>
        <w:t xml:space="preserve">, </w:t>
      </w:r>
      <w:r w:rsidRPr="00C44CC1">
        <w:rPr>
          <w:color w:val="000000" w:themeColor="text1"/>
          <w:lang w:val="en-US"/>
        </w:rPr>
        <w:t>specifically collagenous tissue matrices and fibronectin adhesion proteins</w:t>
      </w:r>
      <w:r w:rsidR="00756B08">
        <w:rPr>
          <w:color w:val="000000" w:themeColor="text1"/>
          <w:lang w:val="en-US"/>
        </w:rPr>
        <w:t xml:space="preserve">, </w:t>
      </w:r>
      <w:r w:rsidRPr="00C44CC1">
        <w:rPr>
          <w:color w:val="000000" w:themeColor="text1"/>
          <w:lang w:val="en-US"/>
        </w:rPr>
        <w:t>promoting progressive tissue matrix dissolution. Elastase-catalyzed reactions target elastic fibers distributed throughout the periodontal ligament and alveolar bone supporting structures. Secreted immunoglobulin A (</w:t>
      </w:r>
      <w:r w:rsidRPr="00100E57">
        <w:rPr>
          <w:i/>
          <w:iCs/>
          <w:color w:val="000000" w:themeColor="text1"/>
          <w:lang w:val="en-US"/>
        </w:rPr>
        <w:t>IgA</w:t>
      </w:r>
      <w:r w:rsidRPr="00C44CC1">
        <w:rPr>
          <w:color w:val="000000" w:themeColor="text1"/>
          <w:lang w:val="en-US"/>
        </w:rPr>
        <w:t>) protease activity cleaves mucosal antibodies, subverting IgA-mediated mucosal defense immunity. Acid-catalyzed and alkaline-catalyzed phosphatase activities facilitate alveolar bone mineral demineralization and subsequent resorption through enzymatic phosphate mobilization</w:t>
      </w:r>
      <w:r w:rsidR="00C57969">
        <w:rPr>
          <w:rStyle w:val="Rimandonotadichiusura"/>
          <w:color w:val="000000" w:themeColor="text1"/>
          <w:lang w:val="en-US"/>
        </w:rPr>
        <w:endnoteReference w:id="114"/>
      </w:r>
      <w:r w:rsidRPr="00C44CC1">
        <w:rPr>
          <w:color w:val="000000" w:themeColor="text1"/>
          <w:lang w:val="en-US"/>
        </w:rPr>
        <w:t>.</w:t>
      </w:r>
    </w:p>
    <w:p w14:paraId="15080300" w14:textId="2DA39284" w:rsidR="00C73F3D" w:rsidRPr="00C44CC1" w:rsidRDefault="00C73F3D" w:rsidP="00134FD1">
      <w:pPr>
        <w:spacing w:line="360" w:lineRule="auto"/>
        <w:jc w:val="both"/>
        <w:rPr>
          <w:color w:val="000000" w:themeColor="text1"/>
          <w:lang w:val="en-US"/>
        </w:rPr>
      </w:pPr>
      <w:r w:rsidRPr="00C44CC1">
        <w:rPr>
          <w:color w:val="000000" w:themeColor="text1"/>
          <w:lang w:val="en-US"/>
        </w:rPr>
        <w:t>Genomic inventory analysis identifies that</w:t>
      </w:r>
      <w:r w:rsidR="00100E57">
        <w:rPr>
          <w:color w:val="000000" w:themeColor="text1"/>
          <w:lang w:val="en-US"/>
        </w:rPr>
        <w:t xml:space="preserve"> </w:t>
      </w:r>
      <w:r w:rsidRPr="00100E57">
        <w:rPr>
          <w:i/>
          <w:iCs/>
          <w:color w:val="000000" w:themeColor="text1"/>
          <w:lang w:val="en-US"/>
        </w:rPr>
        <w:t>P. intermedia</w:t>
      </w:r>
      <w:r w:rsidR="00100E57">
        <w:rPr>
          <w:color w:val="000000" w:themeColor="text1"/>
          <w:lang w:val="en-US"/>
        </w:rPr>
        <w:t xml:space="preserve"> </w:t>
      </w:r>
      <w:r w:rsidRPr="00C44CC1">
        <w:rPr>
          <w:color w:val="000000" w:themeColor="text1"/>
          <w:lang w:val="en-US"/>
        </w:rPr>
        <w:t xml:space="preserve">genomes encode 24-26 strain-specific protease/peptidase-encoding genes complementing approximately 145-170 core </w:t>
      </w:r>
      <w:r w:rsidRPr="00C44CC1">
        <w:rPr>
          <w:color w:val="000000" w:themeColor="text1"/>
          <w:lang w:val="en-US"/>
        </w:rPr>
        <w:lastRenderedPageBreak/>
        <w:t>protease genes shared among isolates. Among these strain-specific proteases, bacteriocin or lantibiotic-exporting enzymes are notably enriched, suggesting that intraspecific bacterial competition</w:t>
      </w:r>
      <w:r w:rsidR="00100E57">
        <w:rPr>
          <w:color w:val="000000" w:themeColor="text1"/>
          <w:lang w:val="en-US"/>
        </w:rPr>
        <w:t xml:space="preserve"> </w:t>
      </w:r>
      <w:r w:rsidRPr="00C44CC1">
        <w:rPr>
          <w:color w:val="000000" w:themeColor="text1"/>
          <w:lang w:val="en-US"/>
        </w:rPr>
        <w:t>rather than strictly host tissue degradation</w:t>
      </w:r>
      <w:r w:rsidR="00100E57">
        <w:rPr>
          <w:color w:val="000000" w:themeColor="text1"/>
          <w:lang w:val="en-US"/>
        </w:rPr>
        <w:t xml:space="preserve"> </w:t>
      </w:r>
      <w:r w:rsidRPr="00C44CC1">
        <w:rPr>
          <w:color w:val="000000" w:themeColor="text1"/>
          <w:lang w:val="en-US"/>
        </w:rPr>
        <w:t>may represent significant evolutionary drivers for protease diversity</w:t>
      </w:r>
      <w:r w:rsidR="00B22DD1">
        <w:rPr>
          <w:rStyle w:val="Rimandonotadichiusura"/>
          <w:color w:val="000000" w:themeColor="text1"/>
          <w:lang w:val="en-US"/>
        </w:rPr>
        <w:endnoteReference w:id="115"/>
      </w:r>
      <w:r w:rsidRPr="00C44CC1">
        <w:rPr>
          <w:color w:val="000000" w:themeColor="text1"/>
          <w:lang w:val="en-US"/>
        </w:rPr>
        <w:t>.</w:t>
      </w:r>
    </w:p>
    <w:p w14:paraId="6F67D6FC" w14:textId="77777777" w:rsidR="00C73F3D" w:rsidRPr="00C44CC1" w:rsidRDefault="00C73F3D" w:rsidP="00134FD1">
      <w:pPr>
        <w:spacing w:line="360" w:lineRule="auto"/>
        <w:jc w:val="both"/>
        <w:rPr>
          <w:i/>
          <w:iCs/>
          <w:color w:val="000000" w:themeColor="text1"/>
          <w:lang w:val="en-US"/>
        </w:rPr>
      </w:pPr>
      <w:r w:rsidRPr="00C44CC1">
        <w:rPr>
          <w:i/>
          <w:iCs/>
          <w:color w:val="000000" w:themeColor="text1"/>
          <w:lang w:val="en-US"/>
        </w:rPr>
        <w:t>Nuclease Production and Neutrophil Extracellular Trap Degradation</w:t>
      </w:r>
    </w:p>
    <w:p w14:paraId="7DAF8664" w14:textId="0CB6DEC7" w:rsidR="00C73F3D" w:rsidRPr="00C44CC1" w:rsidRDefault="00C73F3D" w:rsidP="00134FD1">
      <w:pPr>
        <w:spacing w:line="360" w:lineRule="auto"/>
        <w:jc w:val="both"/>
        <w:rPr>
          <w:color w:val="000000" w:themeColor="text1"/>
          <w:lang w:val="en-US"/>
        </w:rPr>
      </w:pPr>
      <w:r w:rsidRPr="00A76518">
        <w:rPr>
          <w:i/>
          <w:iCs/>
          <w:color w:val="000000" w:themeColor="text1"/>
          <w:lang w:val="en-US"/>
        </w:rPr>
        <w:t>P. intermedia</w:t>
      </w:r>
      <w:r w:rsidR="00A76518">
        <w:rPr>
          <w:color w:val="000000" w:themeColor="text1"/>
          <w:lang w:val="en-US"/>
        </w:rPr>
        <w:t xml:space="preserve"> </w:t>
      </w:r>
      <w:r w:rsidRPr="00C44CC1">
        <w:rPr>
          <w:color w:val="000000" w:themeColor="text1"/>
          <w:lang w:val="en-US"/>
        </w:rPr>
        <w:t>produces nuclease enzymes</w:t>
      </w:r>
      <w:r w:rsidR="00100E57">
        <w:rPr>
          <w:color w:val="000000" w:themeColor="text1"/>
          <w:lang w:val="en-US"/>
        </w:rPr>
        <w:t xml:space="preserve"> </w:t>
      </w:r>
      <w:r w:rsidRPr="00C44CC1">
        <w:rPr>
          <w:color w:val="000000" w:themeColor="text1"/>
          <w:lang w:val="en-US"/>
        </w:rPr>
        <w:t xml:space="preserve">specifically designated </w:t>
      </w:r>
      <w:r w:rsidRPr="00100E57">
        <w:rPr>
          <w:i/>
          <w:iCs/>
          <w:color w:val="000000" w:themeColor="text1"/>
          <w:lang w:val="en-US"/>
        </w:rPr>
        <w:t>NucD</w:t>
      </w:r>
      <w:r w:rsidRPr="00C44CC1">
        <w:rPr>
          <w:color w:val="000000" w:themeColor="text1"/>
          <w:lang w:val="en-US"/>
        </w:rPr>
        <w:t xml:space="preserve"> and </w:t>
      </w:r>
      <w:r w:rsidRPr="00100E57">
        <w:rPr>
          <w:i/>
          <w:iCs/>
          <w:color w:val="000000" w:themeColor="text1"/>
          <w:lang w:val="en-US"/>
        </w:rPr>
        <w:t>NucA</w:t>
      </w:r>
      <w:r w:rsidRPr="00C44CC1">
        <w:rPr>
          <w:color w:val="000000" w:themeColor="text1"/>
          <w:lang w:val="en-US"/>
        </w:rPr>
        <w:t xml:space="preserve"> molecular variants</w:t>
      </w:r>
      <w:r w:rsidR="00100E57">
        <w:rPr>
          <w:color w:val="000000" w:themeColor="text1"/>
          <w:lang w:val="en-US"/>
        </w:rPr>
        <w:t xml:space="preserve"> </w:t>
      </w:r>
      <w:r w:rsidRPr="00C44CC1">
        <w:rPr>
          <w:color w:val="000000" w:themeColor="text1"/>
          <w:lang w:val="en-US"/>
        </w:rPr>
        <w:t>capable of degrading the proteinaceous and DNA-based architecture comprising neutrophil extracellular traps (</w:t>
      </w:r>
      <w:r w:rsidRPr="00100E57">
        <w:rPr>
          <w:i/>
          <w:iCs/>
          <w:color w:val="000000" w:themeColor="text1"/>
          <w:lang w:val="en-US"/>
        </w:rPr>
        <w:t>NETs</w:t>
      </w:r>
      <w:r w:rsidRPr="00C44CC1">
        <w:rPr>
          <w:color w:val="000000" w:themeColor="text1"/>
          <w:lang w:val="en-US"/>
        </w:rPr>
        <w:t>), a critical innate immune barrier mechanism through which neutrophils immobilize, concentrate, and bactericidally kill pathogenic microorganisms. These nuclease-mediated NET-degradative activities facilitate evasion of NET-dependent killing mechanisms, permitting enhanced tissue penetration and systemic microbial dissemination</w:t>
      </w:r>
      <w:r w:rsidR="006D40F0">
        <w:rPr>
          <w:rStyle w:val="Rimandonotadichiusura"/>
          <w:color w:val="000000" w:themeColor="text1"/>
          <w:lang w:val="en-US"/>
        </w:rPr>
        <w:endnoteReference w:id="116"/>
      </w:r>
      <w:r w:rsidRPr="00C44CC1">
        <w:rPr>
          <w:color w:val="000000" w:themeColor="text1"/>
          <w:lang w:val="en-US"/>
        </w:rPr>
        <w:t>.</w:t>
      </w:r>
    </w:p>
    <w:p w14:paraId="51C3AC7A" w14:textId="77777777" w:rsidR="00C73F3D" w:rsidRPr="00C44CC1" w:rsidRDefault="00C73F3D" w:rsidP="00134FD1">
      <w:pPr>
        <w:spacing w:line="360" w:lineRule="auto"/>
        <w:jc w:val="both"/>
        <w:rPr>
          <w:i/>
          <w:iCs/>
          <w:color w:val="000000" w:themeColor="text1"/>
          <w:lang w:val="en-US"/>
        </w:rPr>
      </w:pPr>
      <w:r w:rsidRPr="00C44CC1">
        <w:rPr>
          <w:i/>
          <w:iCs/>
          <w:color w:val="000000" w:themeColor="text1"/>
          <w:lang w:val="en-US"/>
        </w:rPr>
        <w:t>Type IX Secretion System and Cargo Protein Translocation</w:t>
      </w:r>
    </w:p>
    <w:p w14:paraId="5ABCB1CA" w14:textId="3A02BBB8" w:rsidR="00C73F3D" w:rsidRPr="00C44CC1" w:rsidRDefault="00C73F3D" w:rsidP="00134FD1">
      <w:pPr>
        <w:spacing w:line="360" w:lineRule="auto"/>
        <w:jc w:val="both"/>
        <w:rPr>
          <w:color w:val="000000" w:themeColor="text1"/>
          <w:lang w:val="en-US"/>
        </w:rPr>
      </w:pPr>
      <w:r w:rsidRPr="00C44CC1">
        <w:rPr>
          <w:color w:val="000000" w:themeColor="text1"/>
          <w:lang w:val="en-US"/>
        </w:rPr>
        <w:t>The bacterium possesses a Type IX secretion apparatus (designated T9SS)</w:t>
      </w:r>
      <w:r w:rsidR="00100E57">
        <w:rPr>
          <w:color w:val="000000" w:themeColor="text1"/>
          <w:lang w:val="en-US"/>
        </w:rPr>
        <w:t xml:space="preserve">, </w:t>
      </w:r>
      <w:r w:rsidRPr="00C44CC1">
        <w:rPr>
          <w:color w:val="000000" w:themeColor="text1"/>
          <w:lang w:val="en-US"/>
        </w:rPr>
        <w:t>a protein transport mechanism present within the Fibrobacteres-Bacteroidetes-Chlorobi bacterial superphylum. This specialized secretion system transports multiple pathogenic cargo proteins across the bacterial envelope, including enzymes degrading extracellular polysaccharides, cell-surface displayed adhesion molecules, gliding-motility associated proteins, and biofilm-matrix biosynthetic factors. T9SS cargo proteins represent novel therapeutic targets distinct from classical virulence determinants, offering potential antimicrobial intervention approaches independent of protease or adhesin-directed therapies. The core genome of</w:t>
      </w:r>
      <w:r w:rsidR="00796F99">
        <w:rPr>
          <w:color w:val="000000" w:themeColor="text1"/>
          <w:lang w:val="en-US"/>
        </w:rPr>
        <w:t xml:space="preserve"> </w:t>
      </w:r>
      <w:r w:rsidRPr="00175FF6">
        <w:rPr>
          <w:i/>
          <w:iCs/>
          <w:color w:val="000000" w:themeColor="text1"/>
          <w:lang w:val="en-US"/>
        </w:rPr>
        <w:t>P. intermedia</w:t>
      </w:r>
      <w:r w:rsidR="00796F99">
        <w:rPr>
          <w:color w:val="000000" w:themeColor="text1"/>
          <w:lang w:val="en-US"/>
        </w:rPr>
        <w:t xml:space="preserve"> </w:t>
      </w:r>
      <w:r w:rsidRPr="00C44CC1">
        <w:rPr>
          <w:color w:val="000000" w:themeColor="text1"/>
          <w:lang w:val="en-US"/>
        </w:rPr>
        <w:t>contains gene sets encoding complete Type IX secretion system architecture</w:t>
      </w:r>
      <w:r w:rsidR="00796F99">
        <w:rPr>
          <w:rStyle w:val="Rimandonotadichiusura"/>
          <w:color w:val="000000" w:themeColor="text1"/>
          <w:lang w:val="en-US"/>
        </w:rPr>
        <w:endnoteReference w:id="117"/>
      </w:r>
      <w:r w:rsidRPr="00C44CC1">
        <w:rPr>
          <w:color w:val="000000" w:themeColor="text1"/>
          <w:lang w:val="en-US"/>
        </w:rPr>
        <w:t>.</w:t>
      </w:r>
    </w:p>
    <w:p w14:paraId="13FD7AB0" w14:textId="77777777" w:rsidR="00C73F3D" w:rsidRPr="00796F99" w:rsidRDefault="00C73F3D" w:rsidP="00134FD1">
      <w:pPr>
        <w:spacing w:line="360" w:lineRule="auto"/>
        <w:jc w:val="both"/>
        <w:rPr>
          <w:i/>
          <w:iCs/>
          <w:color w:val="000000" w:themeColor="text1"/>
          <w:lang w:val="en-US"/>
        </w:rPr>
      </w:pPr>
      <w:r w:rsidRPr="00796F99">
        <w:rPr>
          <w:i/>
          <w:iCs/>
          <w:color w:val="000000" w:themeColor="text1"/>
          <w:lang w:val="en-US"/>
        </w:rPr>
        <w:t>Piliation, Adhesion Molecules, and Biofilm Architecture</w:t>
      </w:r>
    </w:p>
    <w:p w14:paraId="7E585F6A" w14:textId="51A25181" w:rsidR="00C73F3D" w:rsidRPr="00C44CC1" w:rsidRDefault="00C73F3D" w:rsidP="00134FD1">
      <w:pPr>
        <w:spacing w:line="360" w:lineRule="auto"/>
        <w:jc w:val="both"/>
        <w:rPr>
          <w:color w:val="000000" w:themeColor="text1"/>
          <w:lang w:val="en-US"/>
        </w:rPr>
      </w:pPr>
      <w:r w:rsidRPr="008124FE">
        <w:rPr>
          <w:i/>
          <w:iCs/>
          <w:color w:val="000000" w:themeColor="text1"/>
          <w:lang w:val="en-US"/>
        </w:rPr>
        <w:t>P. intermedia</w:t>
      </w:r>
      <w:r w:rsidR="008124FE">
        <w:rPr>
          <w:color w:val="000000" w:themeColor="text1"/>
          <w:lang w:val="en-US"/>
        </w:rPr>
        <w:t xml:space="preserve"> </w:t>
      </w:r>
      <w:r w:rsidRPr="00C44CC1">
        <w:rPr>
          <w:color w:val="000000" w:themeColor="text1"/>
          <w:lang w:val="en-US"/>
        </w:rPr>
        <w:t>expresses multiple pili and adhesin-type surface proteins facilitating bacterial cell-to-cell signaling interactions, biofilm structural organization, and penetration through epithelial cellular barriers. The bacterium displays distinct biofilm secretome profiles dependent upon growth mode</w:t>
      </w:r>
      <w:r w:rsidR="00100E57">
        <w:rPr>
          <w:color w:val="000000" w:themeColor="text1"/>
          <w:lang w:val="en-US"/>
        </w:rPr>
        <w:t xml:space="preserve"> </w:t>
      </w:r>
      <w:r w:rsidRPr="00C44CC1">
        <w:rPr>
          <w:color w:val="000000" w:themeColor="text1"/>
          <w:lang w:val="en-US"/>
        </w:rPr>
        <w:t>biofilm versus planktonic cultivation</w:t>
      </w:r>
      <w:r w:rsidR="00100E57">
        <w:rPr>
          <w:color w:val="000000" w:themeColor="text1"/>
          <w:lang w:val="en-US"/>
        </w:rPr>
        <w:t xml:space="preserve"> </w:t>
      </w:r>
      <w:r w:rsidRPr="00C44CC1">
        <w:rPr>
          <w:color w:val="000000" w:themeColor="text1"/>
          <w:lang w:val="en-US"/>
        </w:rPr>
        <w:t>with biofilm secretomes containing 109 proteins while planktonic secretomes contain 136 distinct proteins. Only approximately 6 proteins with predicted virulence capacity were identified in both biofilm and planktonic secretome preparations, indicating fundamental metabolic and virulence-factor distinctions between these growth modes</w:t>
      </w:r>
      <w:r w:rsidR="00C57969">
        <w:rPr>
          <w:rStyle w:val="Rimandonotadichiusura"/>
          <w:color w:val="000000" w:themeColor="text1"/>
          <w:lang w:val="en-US"/>
        </w:rPr>
        <w:endnoteReference w:id="118"/>
      </w:r>
      <w:r w:rsidRPr="00C44CC1">
        <w:rPr>
          <w:color w:val="000000" w:themeColor="text1"/>
          <w:lang w:val="en-US"/>
        </w:rPr>
        <w:t>.</w:t>
      </w:r>
    </w:p>
    <w:p w14:paraId="7A27F53B" w14:textId="69F7D8DC" w:rsidR="002638F5" w:rsidRPr="002638F5" w:rsidRDefault="00C73F3D" w:rsidP="00134FD1">
      <w:pPr>
        <w:spacing w:line="360" w:lineRule="auto"/>
        <w:jc w:val="both"/>
        <w:rPr>
          <w:color w:val="000000" w:themeColor="text1"/>
          <w:vertAlign w:val="superscript"/>
          <w:lang w:val="en-US"/>
        </w:rPr>
      </w:pPr>
      <w:r w:rsidRPr="00C44CC1">
        <w:rPr>
          <w:color w:val="000000" w:themeColor="text1"/>
          <w:lang w:val="en-US"/>
        </w:rPr>
        <w:lastRenderedPageBreak/>
        <w:t>Biofilm-derived secretomes induced substantially higher concentrations of inflammatory mediators</w:t>
      </w:r>
      <w:r w:rsidR="00100E57">
        <w:rPr>
          <w:color w:val="000000" w:themeColor="text1"/>
          <w:lang w:val="en-US"/>
        </w:rPr>
        <w:t xml:space="preserve">, </w:t>
      </w:r>
      <w:r w:rsidRPr="00C44CC1">
        <w:rPr>
          <w:color w:val="000000" w:themeColor="text1"/>
          <w:lang w:val="en-US"/>
        </w:rPr>
        <w:t>specifically MIP-1</w:t>
      </w:r>
      <w:r w:rsidRPr="00C73F3D">
        <w:rPr>
          <w:color w:val="000000" w:themeColor="text1"/>
        </w:rPr>
        <w:t>α</w:t>
      </w:r>
      <w:r w:rsidRPr="00C44CC1">
        <w:rPr>
          <w:color w:val="000000" w:themeColor="text1"/>
          <w:lang w:val="en-US"/>
        </w:rPr>
        <w:t>/MIP-1</w:t>
      </w:r>
      <w:r w:rsidRPr="00C73F3D">
        <w:rPr>
          <w:color w:val="000000" w:themeColor="text1"/>
        </w:rPr>
        <w:t>β</w:t>
      </w:r>
      <w:r w:rsidRPr="00C44CC1">
        <w:rPr>
          <w:color w:val="000000" w:themeColor="text1"/>
          <w:lang w:val="en-US"/>
        </w:rPr>
        <w:t>, IL-1</w:t>
      </w:r>
      <w:r w:rsidRPr="00C73F3D">
        <w:rPr>
          <w:color w:val="000000" w:themeColor="text1"/>
        </w:rPr>
        <w:t>β</w:t>
      </w:r>
      <w:r w:rsidRPr="00C44CC1">
        <w:rPr>
          <w:color w:val="000000" w:themeColor="text1"/>
          <w:lang w:val="en-US"/>
        </w:rPr>
        <w:t>, and IL-8</w:t>
      </w:r>
      <w:r w:rsidR="00100E57">
        <w:rPr>
          <w:color w:val="000000" w:themeColor="text1"/>
          <w:lang w:val="en-US"/>
        </w:rPr>
        <w:t xml:space="preserve">, </w:t>
      </w:r>
      <w:r w:rsidRPr="00C44CC1">
        <w:rPr>
          <w:color w:val="000000" w:themeColor="text1"/>
          <w:lang w:val="en-US"/>
        </w:rPr>
        <w:t>compared to planktonic secretomes, indicating that sessile biofilm-dwelling bacteria express a distinctly different virulence arsenal compared to planktonic (free-floating) counterparts. Notable virulence factors within biofilm secretomes included thioredoxin, hemin-binding proteins, peptidase M6, NADH oxidase, and trypsin</w:t>
      </w:r>
      <w:r w:rsidR="00100E57">
        <w:rPr>
          <w:color w:val="000000" w:themeColor="text1"/>
          <w:lang w:val="en-US"/>
        </w:rPr>
        <w:t xml:space="preserve">, </w:t>
      </w:r>
      <w:r w:rsidRPr="00C44CC1">
        <w:rPr>
          <w:color w:val="000000" w:themeColor="text1"/>
          <w:lang w:val="en-US"/>
        </w:rPr>
        <w:t>an enzyme set substantially divergent from planktonic secretome composition</w:t>
      </w:r>
      <w:r w:rsidR="00C57969">
        <w:rPr>
          <w:color w:val="000000" w:themeColor="text1"/>
          <w:vertAlign w:val="superscript"/>
          <w:lang w:val="en-US"/>
        </w:rPr>
        <w:t>118</w:t>
      </w:r>
      <w:r w:rsidR="002638F5">
        <w:rPr>
          <w:color w:val="000000" w:themeColor="text1"/>
          <w:lang w:val="en-US"/>
        </w:rPr>
        <w:t>.</w:t>
      </w:r>
    </w:p>
    <w:p w14:paraId="123057DA" w14:textId="20B5D137" w:rsidR="00C73F3D" w:rsidRPr="00C44CC1" w:rsidRDefault="00C73F3D" w:rsidP="00134FD1">
      <w:pPr>
        <w:spacing w:line="360" w:lineRule="auto"/>
        <w:jc w:val="both"/>
        <w:rPr>
          <w:color w:val="000000" w:themeColor="text1"/>
          <w:lang w:val="en-US"/>
        </w:rPr>
      </w:pPr>
      <w:r w:rsidRPr="00C44CC1">
        <w:rPr>
          <w:color w:val="000000" w:themeColor="text1"/>
          <w:lang w:val="en-US"/>
        </w:rPr>
        <w:t>Exopolysaccharide (EPS) synthesis</w:t>
      </w:r>
      <w:r w:rsidR="00100E57">
        <w:rPr>
          <w:color w:val="000000" w:themeColor="text1"/>
          <w:lang w:val="en-US"/>
        </w:rPr>
        <w:t xml:space="preserve">, </w:t>
      </w:r>
      <w:r w:rsidRPr="00C44CC1">
        <w:rPr>
          <w:color w:val="000000" w:themeColor="text1"/>
          <w:lang w:val="en-US"/>
        </w:rPr>
        <w:t>producing visually apparent mucoid/slimy colonial phenotypes</w:t>
      </w:r>
      <w:r w:rsidR="00100E57">
        <w:rPr>
          <w:color w:val="000000" w:themeColor="text1"/>
          <w:lang w:val="en-US"/>
        </w:rPr>
        <w:t xml:space="preserve">, </w:t>
      </w:r>
      <w:r w:rsidRPr="00C44CC1">
        <w:rPr>
          <w:color w:val="000000" w:themeColor="text1"/>
          <w:lang w:val="en-US"/>
        </w:rPr>
        <w:t>traditionally represents a recognized virulence attribute associated with enhanced biofilm maturation and resistance to antimicrobial challenge, though genomic evidence documents that EPS production shows heterogeneity among clinical isolates and does not universally correlate with virulence expression</w:t>
      </w:r>
      <w:r w:rsidR="00CB554A">
        <w:rPr>
          <w:rStyle w:val="Rimandonotadichiusura"/>
          <w:color w:val="000000" w:themeColor="text1"/>
          <w:lang w:val="en-US"/>
        </w:rPr>
        <w:endnoteReference w:id="119"/>
      </w:r>
      <w:r w:rsidRPr="00C44CC1">
        <w:rPr>
          <w:color w:val="000000" w:themeColor="text1"/>
          <w:lang w:val="en-US"/>
        </w:rPr>
        <w:t>.</w:t>
      </w:r>
    </w:p>
    <w:p w14:paraId="63A6F673" w14:textId="77777777" w:rsidR="00C73F3D" w:rsidRPr="00CB554A" w:rsidRDefault="00C73F3D" w:rsidP="00134FD1">
      <w:pPr>
        <w:spacing w:line="360" w:lineRule="auto"/>
        <w:jc w:val="both"/>
        <w:rPr>
          <w:i/>
          <w:iCs/>
          <w:color w:val="000000" w:themeColor="text1"/>
          <w:lang w:val="en-US"/>
        </w:rPr>
      </w:pPr>
      <w:r w:rsidRPr="00CB554A">
        <w:rPr>
          <w:i/>
          <w:iCs/>
          <w:color w:val="000000" w:themeColor="text1"/>
          <w:lang w:val="en-US"/>
        </w:rPr>
        <w:t>Polysaccharide Capsule and Immune Evasion</w:t>
      </w:r>
    </w:p>
    <w:p w14:paraId="4605343B" w14:textId="719D9F27" w:rsidR="002958CC" w:rsidRDefault="00C73F3D" w:rsidP="002958CC">
      <w:pPr>
        <w:spacing w:line="360" w:lineRule="auto"/>
        <w:jc w:val="both"/>
        <w:rPr>
          <w:color w:val="000000" w:themeColor="text1"/>
          <w:lang w:val="en-US"/>
        </w:rPr>
      </w:pPr>
      <w:r w:rsidRPr="00C44CC1">
        <w:rPr>
          <w:color w:val="000000" w:themeColor="text1"/>
          <w:lang w:val="en-US"/>
        </w:rPr>
        <w:t>Surface-displayed polysaccharide capsules composed of repetitive glycan linkages shield underlying cell-wall antigens from antibody molecular recognition and complement protein deposition. Genes encoding capsule biosynthesis demonstrate marked inter-strain variation in copy number and nucleotide sequence, reflecting adaptive evolution and evasion of host-derived capsule-directed immunologic responses</w:t>
      </w:r>
      <w:r w:rsidR="005A23E5">
        <w:rPr>
          <w:rStyle w:val="Rimandonotadichiusura"/>
          <w:color w:val="000000" w:themeColor="text1"/>
          <w:lang w:val="en-US"/>
        </w:rPr>
        <w:endnoteReference w:id="120"/>
      </w:r>
      <w:r w:rsidR="00FE2E34" w:rsidRPr="00C44CC1">
        <w:rPr>
          <w:color w:val="000000" w:themeColor="text1"/>
          <w:lang w:val="en-US"/>
        </w:rPr>
        <w:t xml:space="preserve">. </w:t>
      </w:r>
    </w:p>
    <w:p w14:paraId="4A19D4AF" w14:textId="77777777" w:rsidR="002958CC" w:rsidRPr="002958CC" w:rsidRDefault="002958CC" w:rsidP="002958CC">
      <w:pPr>
        <w:spacing w:line="360" w:lineRule="auto"/>
        <w:jc w:val="both"/>
        <w:rPr>
          <w:bCs/>
          <w:color w:val="000000" w:themeColor="text1"/>
          <w:lang w:val="en-US"/>
        </w:rPr>
      </w:pPr>
    </w:p>
    <w:p w14:paraId="4DF39DE1" w14:textId="7902B2E6" w:rsidR="008537F8" w:rsidRPr="00615C60" w:rsidRDefault="002958CC" w:rsidP="004D10FB">
      <w:pPr>
        <w:pStyle w:val="Titolo3"/>
        <w:spacing w:line="360" w:lineRule="auto"/>
        <w:rPr>
          <w:sz w:val="28"/>
          <w:szCs w:val="28"/>
          <w:lang w:val="en-US"/>
        </w:rPr>
      </w:pPr>
      <w:bookmarkStart w:id="15" w:name="_Toc219243279"/>
      <w:r w:rsidRPr="004D10FB">
        <w:rPr>
          <w:i/>
          <w:iCs/>
          <w:sz w:val="28"/>
          <w:szCs w:val="28"/>
          <w:lang w:val="en-US"/>
        </w:rPr>
        <w:t>1.1.</w:t>
      </w:r>
      <w:r w:rsidR="008124FE" w:rsidRPr="004D10FB">
        <w:rPr>
          <w:i/>
          <w:iCs/>
          <w:sz w:val="28"/>
          <w:szCs w:val="28"/>
          <w:lang w:val="en-US"/>
        </w:rPr>
        <w:t>4</w:t>
      </w:r>
      <w:r w:rsidRPr="004D10FB">
        <w:rPr>
          <w:i/>
          <w:iCs/>
          <w:sz w:val="28"/>
          <w:szCs w:val="28"/>
          <w:lang w:val="en-US"/>
        </w:rPr>
        <w:t>.3</w:t>
      </w:r>
      <w:r w:rsidRPr="00615C60">
        <w:rPr>
          <w:sz w:val="28"/>
          <w:szCs w:val="28"/>
          <w:lang w:val="en-US"/>
        </w:rPr>
        <w:t xml:space="preserve"> </w:t>
      </w:r>
      <w:r w:rsidRPr="008124FE">
        <w:rPr>
          <w:i/>
          <w:iCs/>
          <w:sz w:val="28"/>
          <w:szCs w:val="28"/>
          <w:lang w:val="en-US"/>
        </w:rPr>
        <w:t>O</w:t>
      </w:r>
      <w:r w:rsidR="00615C60" w:rsidRPr="008124FE">
        <w:rPr>
          <w:i/>
          <w:iCs/>
          <w:sz w:val="28"/>
          <w:szCs w:val="28"/>
          <w:lang w:val="en-US"/>
        </w:rPr>
        <w:t>ral conditions</w:t>
      </w:r>
      <w:bookmarkEnd w:id="15"/>
    </w:p>
    <w:p w14:paraId="5E4BD568" w14:textId="2A028D52" w:rsidR="00134FD1" w:rsidRPr="008537F8" w:rsidRDefault="007E6CE6" w:rsidP="004D10FB">
      <w:pPr>
        <w:spacing w:line="360" w:lineRule="auto"/>
        <w:jc w:val="both"/>
        <w:rPr>
          <w:lang w:val="en-US"/>
        </w:rPr>
      </w:pPr>
      <w:r w:rsidRPr="007E6CE6">
        <w:rPr>
          <w:i/>
          <w:iCs/>
          <w:lang w:val="en-US"/>
        </w:rPr>
        <w:t>Prevotella intermedia</w:t>
      </w:r>
      <w:r w:rsidR="008124FE">
        <w:rPr>
          <w:lang w:val="en-US"/>
        </w:rPr>
        <w:t xml:space="preserve"> </w:t>
      </w:r>
      <w:r w:rsidRPr="007E6CE6">
        <w:rPr>
          <w:lang w:val="en-US"/>
        </w:rPr>
        <w:t>occupies a flexible ecological position in the oral cavity, behaving as a facultative commensal in health but showing a clear shift toward pathogenic behaviour in disease. Epidemiological surveys in subjects without periodontal breakdown report</w:t>
      </w:r>
      <w:r w:rsidR="008124FE">
        <w:rPr>
          <w:lang w:val="en-US"/>
        </w:rPr>
        <w:t xml:space="preserve"> </w:t>
      </w:r>
      <w:r w:rsidRPr="007E6CE6">
        <w:rPr>
          <w:i/>
          <w:iCs/>
          <w:lang w:val="en-US"/>
        </w:rPr>
        <w:t>P. intermedia</w:t>
      </w:r>
      <w:r w:rsidR="008124FE">
        <w:rPr>
          <w:i/>
          <w:iCs/>
          <w:lang w:val="en-US"/>
        </w:rPr>
        <w:t xml:space="preserve"> </w:t>
      </w:r>
      <w:r w:rsidRPr="007E6CE6">
        <w:rPr>
          <w:lang w:val="en-US"/>
        </w:rPr>
        <w:t>in about 71% of individuals, where it constitutes roughly 70% of all black</w:t>
      </w:r>
      <w:r w:rsidRPr="007E6CE6">
        <w:rPr>
          <w:lang w:val="en-US"/>
        </w:rPr>
        <w:noBreakHyphen/>
        <w:t>pigmented rods isolated from clinically healthy subgingival sites. In contrast, its relative abundance rises markedly inside periodontal pockets with active tissue destruction, reaching about 41.7% of the total microbiota in active lesions compared with 37.3% in inactive sites. Isolates from diseased pockets display an enhanced virulence phenotype, with higher production of trypsin</w:t>
      </w:r>
      <w:r w:rsidRPr="007E6CE6">
        <w:rPr>
          <w:lang w:val="en-US"/>
        </w:rPr>
        <w:noBreakHyphen/>
        <w:t>like serine proteases, lipid</w:t>
      </w:r>
      <w:r w:rsidRPr="007E6CE6">
        <w:rPr>
          <w:lang w:val="en-US"/>
        </w:rPr>
        <w:noBreakHyphen/>
        <w:t>degrading enzymes, acid and alkaline phosphatases, and carbohydrate</w:t>
      </w:r>
      <w:r w:rsidRPr="007E6CE6">
        <w:rPr>
          <w:lang w:val="en-US"/>
        </w:rPr>
        <w:noBreakHyphen/>
        <w:t>degrading enzymes than strains recovered from healthy sites</w:t>
      </w:r>
      <w:r w:rsidR="00134FD1" w:rsidRPr="008537F8">
        <w:rPr>
          <w:rStyle w:val="Rimandonotadichiusura"/>
          <w:lang w:val="en-US"/>
        </w:rPr>
        <w:endnoteReference w:id="121"/>
      </w:r>
      <w:r>
        <w:rPr>
          <w:lang w:val="en-US"/>
        </w:rPr>
        <w:t>.</w:t>
      </w:r>
    </w:p>
    <w:p w14:paraId="2FDE8712" w14:textId="0B904519" w:rsidR="00930043" w:rsidRPr="00930043" w:rsidRDefault="00930043" w:rsidP="00930043">
      <w:pPr>
        <w:spacing w:line="360" w:lineRule="auto"/>
        <w:jc w:val="both"/>
        <w:rPr>
          <w:lang w:val="en-US"/>
        </w:rPr>
      </w:pPr>
      <w:r w:rsidRPr="00930043">
        <w:rPr>
          <w:lang w:val="en-US"/>
        </w:rPr>
        <w:lastRenderedPageBreak/>
        <w:t xml:space="preserve">Within subgingival biofilms, </w:t>
      </w:r>
      <w:r w:rsidRPr="00930043">
        <w:rPr>
          <w:i/>
          <w:iCs/>
          <w:lang w:val="en-US"/>
        </w:rPr>
        <w:t>Prevotella intermedia</w:t>
      </w:r>
      <w:r w:rsidRPr="00930043">
        <w:rPr>
          <w:lang w:val="en-US"/>
        </w:rPr>
        <w:t xml:space="preserve"> is recognized as an important periodontal pathogen implicated in both chronic, slowly progressive periodontitis and more rapidly destructive disease phenotypes</w:t>
      </w:r>
      <w:r>
        <w:rPr>
          <w:rStyle w:val="Rimandonotadichiusura"/>
          <w:lang w:val="en-US"/>
        </w:rPr>
        <w:endnoteReference w:id="122"/>
      </w:r>
      <w:r w:rsidRPr="00930043">
        <w:rPr>
          <w:lang w:val="en-US"/>
        </w:rPr>
        <w:t>. Its pathogenic potential is primarily driven by the production of proteolytic enzymes, lipopolysaccharides, and pro-inflammatory surface molecules that activate host inflammatory pathways and contribute to progressive damage of gingival connective tissue, the periodontal ligament, and adjacent mineralized structures, including cementum and alveolar bone</w:t>
      </w:r>
      <w:r w:rsidR="00837136">
        <w:rPr>
          <w:vertAlign w:val="superscript"/>
          <w:lang w:val="en-US"/>
        </w:rPr>
        <w:t>33</w:t>
      </w:r>
      <w:r w:rsidRPr="00930043">
        <w:rPr>
          <w:lang w:val="en-US"/>
        </w:rPr>
        <w:t>.</w:t>
      </w:r>
    </w:p>
    <w:p w14:paraId="06F07C8F" w14:textId="422A6B91" w:rsidR="00930043" w:rsidRPr="00930043" w:rsidRDefault="00930043" w:rsidP="00930043">
      <w:pPr>
        <w:spacing w:line="360" w:lineRule="auto"/>
        <w:jc w:val="both"/>
        <w:rPr>
          <w:lang w:val="en-US"/>
        </w:rPr>
      </w:pPr>
      <w:r w:rsidRPr="00930043">
        <w:rPr>
          <w:i/>
          <w:iCs/>
          <w:lang w:val="en-US"/>
        </w:rPr>
        <w:t>P. intermedia</w:t>
      </w:r>
      <w:r w:rsidRPr="00930043">
        <w:rPr>
          <w:lang w:val="en-US"/>
        </w:rPr>
        <w:t xml:space="preserve"> commonly coaggregates with members of the red and orange complexes, such as </w:t>
      </w:r>
      <w:r w:rsidRPr="00930043">
        <w:rPr>
          <w:i/>
          <w:iCs/>
          <w:lang w:val="en-US"/>
        </w:rPr>
        <w:t>Porphyromonas gingivalis</w:t>
      </w:r>
      <w:r w:rsidRPr="00930043">
        <w:rPr>
          <w:lang w:val="en-US"/>
        </w:rPr>
        <w:t xml:space="preserve"> and </w:t>
      </w:r>
      <w:r w:rsidRPr="00930043">
        <w:rPr>
          <w:i/>
          <w:iCs/>
          <w:lang w:val="en-US"/>
        </w:rPr>
        <w:t>Fusobacterium nucleatum</w:t>
      </w:r>
      <w:r w:rsidRPr="00930043">
        <w:rPr>
          <w:lang w:val="en-US"/>
        </w:rPr>
        <w:t>, forming polymicrobial consortia within which synergistic metabolic interactions enhance overall virulence</w:t>
      </w:r>
      <w:r w:rsidR="00837136">
        <w:rPr>
          <w:vertAlign w:val="superscript"/>
          <w:lang w:val="en-US"/>
        </w:rPr>
        <w:t>34</w:t>
      </w:r>
      <w:r>
        <w:rPr>
          <w:lang w:val="en-US"/>
        </w:rPr>
        <w:t>.</w:t>
      </w:r>
      <w:r w:rsidR="00837136">
        <w:rPr>
          <w:lang w:val="en-US"/>
        </w:rPr>
        <w:t xml:space="preserve"> </w:t>
      </w:r>
      <w:r w:rsidRPr="00930043">
        <w:rPr>
          <w:lang w:val="en-US"/>
        </w:rPr>
        <w:t xml:space="preserve">In these communities, </w:t>
      </w:r>
      <w:r w:rsidRPr="00930043">
        <w:rPr>
          <w:i/>
          <w:iCs/>
          <w:lang w:val="en-US"/>
        </w:rPr>
        <w:t>P. intermedia</w:t>
      </w:r>
      <w:r w:rsidRPr="00930043">
        <w:rPr>
          <w:lang w:val="en-US"/>
        </w:rPr>
        <w:t xml:space="preserve"> contributes to the establishment of reduced oxygen microenvironments favorable to strict anaerobes and utilizes iron-containing compounds derived from hemoglobin degradation mediated by </w:t>
      </w:r>
      <w:r w:rsidRPr="00930043">
        <w:rPr>
          <w:i/>
          <w:iCs/>
          <w:lang w:val="en-US"/>
        </w:rPr>
        <w:t xml:space="preserve">P. gingivalis </w:t>
      </w:r>
      <w:r w:rsidRPr="00930043">
        <w:rPr>
          <w:lang w:val="en-US"/>
        </w:rPr>
        <w:t>gingipains</w:t>
      </w:r>
      <w:r>
        <w:rPr>
          <w:rStyle w:val="Rimandonotadichiusura"/>
          <w:lang w:val="en-US"/>
        </w:rPr>
        <w:endnoteReference w:id="123"/>
      </w:r>
      <w:r w:rsidRPr="00930043">
        <w:rPr>
          <w:lang w:val="en-US"/>
        </w:rPr>
        <w:t xml:space="preserve">. Moreover, the InpA protease of </w:t>
      </w:r>
      <w:r w:rsidRPr="00930043">
        <w:rPr>
          <w:i/>
          <w:iCs/>
          <w:lang w:val="en-US"/>
        </w:rPr>
        <w:t xml:space="preserve">P. intermedia </w:t>
      </w:r>
      <w:r w:rsidRPr="00930043">
        <w:rPr>
          <w:lang w:val="en-US"/>
        </w:rPr>
        <w:t xml:space="preserve">has been shown to potentiate complement inactivation initiated by </w:t>
      </w:r>
      <w:r w:rsidRPr="00930043">
        <w:rPr>
          <w:i/>
          <w:iCs/>
          <w:lang w:val="en-US"/>
        </w:rPr>
        <w:t>P. gingivalis</w:t>
      </w:r>
      <w:r w:rsidRPr="00930043">
        <w:rPr>
          <w:lang w:val="en-US"/>
        </w:rPr>
        <w:t>, thereby increasing serum resistance and promoting persistence of the polymicrobial biofilm</w:t>
      </w:r>
      <w:r>
        <w:rPr>
          <w:rStyle w:val="Rimandonotadichiusura"/>
          <w:lang w:val="en-US"/>
        </w:rPr>
        <w:endnoteReference w:id="124"/>
      </w:r>
      <w:r>
        <w:rPr>
          <w:rStyle w:val="Rimandonotadichiusura"/>
          <w:lang w:val="en-US"/>
        </w:rPr>
        <w:endnoteReference w:id="125"/>
      </w:r>
      <w:r>
        <w:rPr>
          <w:lang w:val="en-US"/>
        </w:rPr>
        <w:t>.</w:t>
      </w:r>
    </w:p>
    <w:p w14:paraId="57590119" w14:textId="77777777" w:rsidR="00C73F3D" w:rsidRPr="008537F8" w:rsidRDefault="00C73F3D" w:rsidP="008537F8">
      <w:pPr>
        <w:spacing w:line="360" w:lineRule="auto"/>
        <w:jc w:val="both"/>
        <w:rPr>
          <w:i/>
          <w:iCs/>
          <w:lang w:val="en-US"/>
        </w:rPr>
      </w:pPr>
      <w:r w:rsidRPr="008537F8">
        <w:rPr>
          <w:i/>
          <w:iCs/>
          <w:lang w:val="en-US"/>
        </w:rPr>
        <w:t>Acute Necrotizing Ulcerative Gingivitis (ANUG)</w:t>
      </w:r>
    </w:p>
    <w:p w14:paraId="0C8C0788" w14:textId="67CBF1C0" w:rsidR="00C73F3D" w:rsidRPr="00C73F3D" w:rsidRDefault="007E6CE6" w:rsidP="008537F8">
      <w:pPr>
        <w:spacing w:line="360" w:lineRule="auto"/>
        <w:jc w:val="both"/>
        <w:rPr>
          <w:lang w:val="en-US"/>
        </w:rPr>
      </w:pPr>
      <w:r w:rsidRPr="007E6CE6">
        <w:rPr>
          <w:i/>
          <w:iCs/>
          <w:lang w:val="en-US"/>
        </w:rPr>
        <w:t>Prevotella intermedia</w:t>
      </w:r>
      <w:r w:rsidRPr="007E6CE6">
        <w:rPr>
          <w:lang w:val="en-US"/>
        </w:rPr>
        <w:t xml:space="preserve"> has been consistently identified as a major microbial contributor to acute necrotizing ulcerative gingivitis, a rapidly developing periodontal condition characterized by severe pain, gingival tissue necrosis, and spontaneous bleeding</w:t>
      </w:r>
      <w:r w:rsidR="00837136">
        <w:rPr>
          <w:vertAlign w:val="superscript"/>
          <w:lang w:val="en-US"/>
        </w:rPr>
        <w:t>33</w:t>
      </w:r>
      <w:r w:rsidR="00837136">
        <w:rPr>
          <w:lang w:val="en-US"/>
        </w:rPr>
        <w:t>.</w:t>
      </w:r>
      <w:r w:rsidRPr="007E6CE6">
        <w:rPr>
          <w:lang w:val="en-US"/>
        </w:rPr>
        <w:t xml:space="preserve">The acute clinical presentation is associated with a sudden overgrowth of </w:t>
      </w:r>
      <w:r w:rsidRPr="007E6CE6">
        <w:rPr>
          <w:i/>
          <w:iCs/>
          <w:lang w:val="en-US"/>
        </w:rPr>
        <w:t>P. intermedia</w:t>
      </w:r>
      <w:r w:rsidRPr="007E6CE6">
        <w:rPr>
          <w:lang w:val="en-US"/>
        </w:rPr>
        <w:t xml:space="preserve"> together with other anaerobic bacteria within pre-existing subgingival biofilm communities, followed by bacterial invasion through ulcerated gingival epithelium</w:t>
      </w:r>
      <w:r w:rsidR="00DF7E37">
        <w:rPr>
          <w:rStyle w:val="Rimandonotadichiusura"/>
          <w:lang w:val="en-US"/>
        </w:rPr>
        <w:endnoteReference w:id="126"/>
      </w:r>
      <w:r w:rsidRPr="007E6CE6">
        <w:rPr>
          <w:lang w:val="en-US"/>
        </w:rPr>
        <w:t>. Proteolytic enzyme activity, combined with the effects of lipopolysaccharides and host-derived pro-inflammatory mediators, promotes extensive tissue destruction and accounts for the characteristic necrotic and hemorrhagic features of the lesions</w:t>
      </w:r>
      <w:r w:rsidR="00DF7E37">
        <w:rPr>
          <w:rStyle w:val="Rimandonotadichiusura"/>
          <w:lang w:val="en-US"/>
        </w:rPr>
        <w:endnoteReference w:id="127"/>
      </w:r>
      <w:r w:rsidRPr="007E6CE6">
        <w:rPr>
          <w:lang w:val="en-US"/>
        </w:rPr>
        <w:t>.</w:t>
      </w:r>
    </w:p>
    <w:p w14:paraId="7309B203" w14:textId="77777777" w:rsidR="00C73F3D" w:rsidRPr="00DF7E37" w:rsidRDefault="00C73F3D" w:rsidP="008537F8">
      <w:pPr>
        <w:spacing w:line="360" w:lineRule="auto"/>
        <w:jc w:val="both"/>
        <w:rPr>
          <w:i/>
          <w:iCs/>
          <w:lang w:val="en-US"/>
        </w:rPr>
      </w:pPr>
      <w:r w:rsidRPr="00DF7E37">
        <w:rPr>
          <w:i/>
          <w:iCs/>
          <w:lang w:val="en-US"/>
        </w:rPr>
        <w:t>Endodontic-Origin Infections and Apical Periodontal Inflammation</w:t>
      </w:r>
    </w:p>
    <w:p w14:paraId="55FF137A" w14:textId="7182AED7" w:rsidR="00C73F3D" w:rsidRPr="00C73F3D" w:rsidRDefault="00C73F3D" w:rsidP="008537F8">
      <w:pPr>
        <w:spacing w:line="360" w:lineRule="auto"/>
        <w:jc w:val="both"/>
        <w:rPr>
          <w:lang w:val="en-US"/>
        </w:rPr>
      </w:pPr>
      <w:r w:rsidRPr="00C73F3D">
        <w:rPr>
          <w:i/>
          <w:iCs/>
          <w:lang w:val="en-US"/>
        </w:rPr>
        <w:t>Prevotella intermedia</w:t>
      </w:r>
      <w:r w:rsidRPr="00C73F3D">
        <w:rPr>
          <w:lang w:val="en-US"/>
        </w:rPr>
        <w:t> has been definitively identified as a significant causative organism in endodontic pulpal infections, including root canal infection establishment, apical periodontitis progression (inflammatory destruction surrounding the apex of tooth roots), and periapical abscess formation. The bacterium</w:t>
      </w:r>
      <w:r w:rsidR="00053BFA">
        <w:rPr>
          <w:lang w:val="en-US"/>
        </w:rPr>
        <w:t>’</w:t>
      </w:r>
      <w:r w:rsidRPr="00C73F3D">
        <w:rPr>
          <w:lang w:val="en-US"/>
        </w:rPr>
        <w:t xml:space="preserve">s capacity for invasion into dentinal tubule structures and formation of antibiotic-resistant biofilms within the endodontic </w:t>
      </w:r>
      <w:r w:rsidRPr="00C73F3D">
        <w:rPr>
          <w:lang w:val="en-US"/>
        </w:rPr>
        <w:lastRenderedPageBreak/>
        <w:t>system compartment complicates antimicrobial therapeutic efficacy. The organism</w:t>
      </w:r>
      <w:r w:rsidR="00053BFA">
        <w:rPr>
          <w:lang w:val="en-US"/>
        </w:rPr>
        <w:t>’</w:t>
      </w:r>
      <w:r w:rsidRPr="00C73F3D">
        <w:rPr>
          <w:lang w:val="en-US"/>
        </w:rPr>
        <w:t>s proteolytic enzymes progressively damage apical periodontal tissues while bacterial endotoxin diffuses through the apical foramen opening, triggering periapical inflammatory responses and osteoclastic bone resorption.</w:t>
      </w:r>
      <w:r w:rsidR="00427A44">
        <w:rPr>
          <w:rStyle w:val="Rimandonotadichiusura"/>
          <w:lang w:val="en-US"/>
        </w:rPr>
        <w:endnoteReference w:id="128"/>
      </w:r>
    </w:p>
    <w:p w14:paraId="359B08DC" w14:textId="77777777" w:rsidR="00C73F3D" w:rsidRPr="008537F8" w:rsidRDefault="00C73F3D" w:rsidP="008537F8">
      <w:pPr>
        <w:spacing w:line="360" w:lineRule="auto"/>
        <w:jc w:val="both"/>
        <w:rPr>
          <w:i/>
          <w:iCs/>
          <w:lang w:val="en-US"/>
        </w:rPr>
      </w:pPr>
      <w:r w:rsidRPr="008537F8">
        <w:rPr>
          <w:i/>
          <w:iCs/>
          <w:lang w:val="en-US"/>
        </w:rPr>
        <w:t>Suppurative Dental Abscess Formation</w:t>
      </w:r>
    </w:p>
    <w:p w14:paraId="17AFBC16" w14:textId="3C7F229A" w:rsidR="00C73F3D" w:rsidRPr="00C73F3D" w:rsidRDefault="007E6CE6" w:rsidP="008537F8">
      <w:pPr>
        <w:spacing w:line="360" w:lineRule="auto"/>
        <w:jc w:val="both"/>
        <w:rPr>
          <w:lang w:val="en-US"/>
        </w:rPr>
      </w:pPr>
      <w:r w:rsidRPr="007E6CE6">
        <w:rPr>
          <w:i/>
          <w:iCs/>
          <w:lang w:val="en-US"/>
        </w:rPr>
        <w:t>P. intermedia</w:t>
      </w:r>
      <w:r w:rsidRPr="007E6CE6">
        <w:rPr>
          <w:lang w:val="en-US"/>
        </w:rPr>
        <w:t> is also commonly recovered from suppurative dental abscesses, including periodontal and periapical origin, where its proteases and other virulence factors favour progression from a localized purulent focus to more extensive tissue involvement and, in severe cases, potential spread via the bloodstream</w:t>
      </w:r>
      <w:r>
        <w:rPr>
          <w:rStyle w:val="Rimandonotadichiusura"/>
          <w:lang w:val="en-US"/>
        </w:rPr>
        <w:endnoteReference w:id="129"/>
      </w:r>
      <w:r w:rsidRPr="007E6CE6">
        <w:rPr>
          <w:lang w:val="en-US"/>
        </w:rPr>
        <w:t xml:space="preserve">. </w:t>
      </w:r>
    </w:p>
    <w:p w14:paraId="4BCF5B81" w14:textId="77777777" w:rsidR="00C73F3D" w:rsidRPr="008537F8" w:rsidRDefault="00C73F3D" w:rsidP="008537F8">
      <w:pPr>
        <w:spacing w:line="360" w:lineRule="auto"/>
        <w:jc w:val="both"/>
        <w:rPr>
          <w:i/>
          <w:iCs/>
          <w:lang w:val="en-US"/>
        </w:rPr>
      </w:pPr>
      <w:r w:rsidRPr="008537F8">
        <w:rPr>
          <w:i/>
          <w:iCs/>
          <w:lang w:val="en-US"/>
        </w:rPr>
        <w:t>Severe Necrotizing Orofacial Infection (Noma/Cancrum Oris)</w:t>
      </w:r>
    </w:p>
    <w:p w14:paraId="413451B4" w14:textId="2ACEE64A" w:rsidR="007E6CE6" w:rsidRPr="00C73F3D" w:rsidRDefault="00182A87" w:rsidP="007E6CE6">
      <w:pPr>
        <w:spacing w:line="360" w:lineRule="auto"/>
        <w:jc w:val="both"/>
        <w:rPr>
          <w:lang w:val="en-US"/>
        </w:rPr>
      </w:pPr>
      <w:r w:rsidRPr="00D32E39">
        <w:rPr>
          <w:lang w:val="en-US"/>
        </w:rPr>
        <w:t>Notably</w:t>
      </w:r>
      <w:r w:rsidR="007E6CE6" w:rsidRPr="007E6CE6">
        <w:rPr>
          <w:lang w:val="en-US"/>
        </w:rPr>
        <w:t xml:space="preserve">, this species has been implicated as part of the polymicrobial flora in </w:t>
      </w:r>
      <w:proofErr w:type="spellStart"/>
      <w:r w:rsidR="007E6CE6" w:rsidRPr="007E6CE6">
        <w:rPr>
          <w:lang w:val="en-US"/>
        </w:rPr>
        <w:t>noma</w:t>
      </w:r>
      <w:proofErr w:type="spellEnd"/>
      <w:r w:rsidR="007E6CE6" w:rsidRPr="007E6CE6">
        <w:rPr>
          <w:lang w:val="en-US"/>
        </w:rPr>
        <w:t xml:space="preserve"> (</w:t>
      </w:r>
      <w:proofErr w:type="spellStart"/>
      <w:r w:rsidR="007E6CE6" w:rsidRPr="007E6CE6">
        <w:rPr>
          <w:lang w:val="en-US"/>
        </w:rPr>
        <w:t>cancrum</w:t>
      </w:r>
      <w:proofErr w:type="spellEnd"/>
      <w:r w:rsidR="007E6CE6" w:rsidRPr="007E6CE6">
        <w:rPr>
          <w:lang w:val="en-US"/>
        </w:rPr>
        <w:t xml:space="preserve"> </w:t>
      </w:r>
      <w:proofErr w:type="spellStart"/>
      <w:r w:rsidR="007E6CE6" w:rsidRPr="007E6CE6">
        <w:rPr>
          <w:lang w:val="en-US"/>
        </w:rPr>
        <w:t>oris</w:t>
      </w:r>
      <w:proofErr w:type="spellEnd"/>
      <w:r w:rsidR="007E6CE6" w:rsidRPr="007E6CE6">
        <w:rPr>
          <w:lang w:val="en-US"/>
        </w:rPr>
        <w:t>), a fulminant necrotizing orofacial infection seen mainly in severely malnourished or immunocompromised individuals; its strong proteolytic activity and capacity to drive intense inflammation are believed to contribute to the rapidly progressive soft</w:t>
      </w:r>
      <w:r w:rsidR="007E6CE6" w:rsidRPr="007E6CE6">
        <w:rPr>
          <w:lang w:val="en-US"/>
        </w:rPr>
        <w:noBreakHyphen/>
        <w:t>tissue destruction that may extend from the gingiva to involve facial soft tissues and underlying bone</w:t>
      </w:r>
      <w:r w:rsidR="007E6CE6">
        <w:rPr>
          <w:rStyle w:val="Rimandonotadichiusura"/>
          <w:lang w:val="en-US"/>
        </w:rPr>
        <w:endnoteReference w:id="130"/>
      </w:r>
      <w:r w:rsidR="007E6CE6" w:rsidRPr="007E6CE6">
        <w:rPr>
          <w:lang w:val="en-US"/>
        </w:rPr>
        <w:t>.</w:t>
      </w:r>
    </w:p>
    <w:p w14:paraId="3BBD7C4C" w14:textId="77777777" w:rsidR="008537F8" w:rsidRDefault="008537F8" w:rsidP="008537F8">
      <w:pPr>
        <w:spacing w:line="360" w:lineRule="auto"/>
        <w:jc w:val="both"/>
        <w:rPr>
          <w:lang w:val="en-US"/>
        </w:rPr>
      </w:pPr>
    </w:p>
    <w:p w14:paraId="59E28069" w14:textId="3EF44AA5" w:rsidR="00C73F3D" w:rsidRPr="008124FE" w:rsidRDefault="002958CC" w:rsidP="004D10FB">
      <w:pPr>
        <w:pStyle w:val="Titolo3"/>
        <w:spacing w:line="360" w:lineRule="auto"/>
        <w:rPr>
          <w:i/>
          <w:iCs/>
          <w:noProof/>
          <w:sz w:val="28"/>
          <w:szCs w:val="28"/>
          <w:lang w:val="en-US"/>
        </w:rPr>
      </w:pPr>
      <w:bookmarkStart w:id="16" w:name="_Toc219243280"/>
      <w:r w:rsidRPr="004D10FB">
        <w:rPr>
          <w:rFonts w:eastAsiaTheme="minorEastAsia"/>
          <w:i/>
          <w:iCs/>
          <w:sz w:val="28"/>
          <w:szCs w:val="28"/>
          <w:lang w:val="en-US"/>
        </w:rPr>
        <w:t>1.1.</w:t>
      </w:r>
      <w:r w:rsidR="008124FE" w:rsidRPr="004D10FB">
        <w:rPr>
          <w:rFonts w:eastAsiaTheme="minorEastAsia"/>
          <w:i/>
          <w:iCs/>
          <w:sz w:val="28"/>
          <w:szCs w:val="28"/>
          <w:lang w:val="en-US"/>
        </w:rPr>
        <w:t>4</w:t>
      </w:r>
      <w:r w:rsidRPr="004D10FB">
        <w:rPr>
          <w:rFonts w:eastAsiaTheme="minorEastAsia"/>
          <w:i/>
          <w:iCs/>
          <w:sz w:val="28"/>
          <w:szCs w:val="28"/>
          <w:lang w:val="en-US"/>
        </w:rPr>
        <w:t>.4</w:t>
      </w:r>
      <w:r w:rsidRPr="00615C60">
        <w:rPr>
          <w:rFonts w:eastAsiaTheme="minorEastAsia"/>
          <w:sz w:val="28"/>
          <w:szCs w:val="28"/>
          <w:lang w:val="en-US"/>
        </w:rPr>
        <w:t xml:space="preserve"> </w:t>
      </w:r>
      <w:r w:rsidR="00615C60" w:rsidRPr="008124FE">
        <w:rPr>
          <w:i/>
          <w:iCs/>
          <w:noProof/>
          <w:sz w:val="28"/>
          <w:szCs w:val="28"/>
          <w:lang w:val="en-US"/>
        </w:rPr>
        <w:t>Sistemic involvement and extraoral pathogenicity</w:t>
      </w:r>
      <w:bookmarkEnd w:id="16"/>
    </w:p>
    <w:p w14:paraId="60431071" w14:textId="09675BE8" w:rsidR="00264C61" w:rsidRPr="00264C61" w:rsidRDefault="00264C61" w:rsidP="004D10FB">
      <w:pPr>
        <w:spacing w:line="360" w:lineRule="auto"/>
        <w:jc w:val="both"/>
        <w:rPr>
          <w:noProof/>
          <w:lang w:val="en-US"/>
        </w:rPr>
      </w:pPr>
      <w:r w:rsidRPr="00264C61">
        <w:rPr>
          <w:noProof/>
          <w:lang w:val="en-US"/>
        </w:rPr>
        <w:t xml:space="preserve">Although primarily regarded as an oral pathobiont associated with periodontal and endodontic infections, </w:t>
      </w:r>
      <w:r w:rsidRPr="00264C61">
        <w:rPr>
          <w:i/>
          <w:iCs/>
          <w:noProof/>
          <w:lang w:val="en-US"/>
        </w:rPr>
        <w:t>Prevotella intermedia</w:t>
      </w:r>
      <w:r w:rsidRPr="00264C61">
        <w:rPr>
          <w:noProof/>
          <w:lang w:val="en-US"/>
        </w:rPr>
        <w:t xml:space="preserve"> has demonstrated the capacity to disseminate beyond the oral cavity through transient bacteremia originating from inflamed periodontal tissues or odontogenic infection sites</w:t>
      </w:r>
      <w:r w:rsidR="004C0A3A">
        <w:rPr>
          <w:rStyle w:val="Rimandonotadichiusura"/>
          <w:noProof/>
          <w:lang w:val="en-US"/>
        </w:rPr>
        <w:endnoteReference w:id="131"/>
      </w:r>
      <w:r w:rsidRPr="00264C61">
        <w:rPr>
          <w:noProof/>
          <w:lang w:val="en-US"/>
        </w:rPr>
        <w:t>. Such bacteremic episodes may occur during routine oral activities or dental procedures and provide a plausible route for systemic spread</w:t>
      </w:r>
      <w:r w:rsidR="004C0A3A">
        <w:rPr>
          <w:rStyle w:val="Rimandonotadichiusura"/>
          <w:noProof/>
          <w:lang w:val="en-US"/>
        </w:rPr>
        <w:endnoteReference w:id="132"/>
      </w:r>
      <w:r w:rsidRPr="00264C61">
        <w:rPr>
          <w:noProof/>
          <w:lang w:val="en-US"/>
        </w:rPr>
        <w:t>. Once in the circulation, immune evasion mechanisms</w:t>
      </w:r>
      <w:r>
        <w:rPr>
          <w:noProof/>
          <w:lang w:val="en-US"/>
        </w:rPr>
        <w:t xml:space="preserve">, </w:t>
      </w:r>
      <w:r w:rsidRPr="00264C61">
        <w:rPr>
          <w:noProof/>
          <w:lang w:val="en-US"/>
        </w:rPr>
        <w:t>including resistance to serum bactericidal activity mediated by cysteine proteases such as interpain A</w:t>
      </w:r>
      <w:r>
        <w:rPr>
          <w:noProof/>
          <w:lang w:val="en-US"/>
        </w:rPr>
        <w:t xml:space="preserve"> </w:t>
      </w:r>
      <w:r w:rsidRPr="00264C61">
        <w:rPr>
          <w:noProof/>
          <w:lang w:val="en-US"/>
        </w:rPr>
        <w:t>may enhance bacterial survival and facilitate secondary colonization of anatomically distant sites</w:t>
      </w:r>
      <w:r w:rsidR="00C57969">
        <w:rPr>
          <w:noProof/>
          <w:vertAlign w:val="superscript"/>
          <w:lang w:val="en-US"/>
        </w:rPr>
        <w:t>112</w:t>
      </w:r>
      <w:r w:rsidRPr="00264C61">
        <w:rPr>
          <w:noProof/>
          <w:lang w:val="en-US"/>
        </w:rPr>
        <w:t xml:space="preserve">. Clinically, </w:t>
      </w:r>
      <w:r w:rsidRPr="00264C61">
        <w:rPr>
          <w:i/>
          <w:iCs/>
          <w:noProof/>
          <w:lang w:val="en-US"/>
        </w:rPr>
        <w:t>P. intermedia</w:t>
      </w:r>
      <w:r w:rsidRPr="00264C61">
        <w:rPr>
          <w:noProof/>
          <w:lang w:val="en-US"/>
        </w:rPr>
        <w:t xml:space="preserve"> has been isolated from a variety of extra-oral infections, including head and neck infections, respiratory tract infections, and rare but severe conditions such as intracranial abscesses and purulent pericarditis, typically as part of polymicrobial anaerobic consortia rather than as a solitary pathogen.</w:t>
      </w:r>
    </w:p>
    <w:p w14:paraId="52AD4317" w14:textId="77777777" w:rsidR="00264C61" w:rsidRPr="00264C61" w:rsidRDefault="00264C61" w:rsidP="00264C61">
      <w:pPr>
        <w:spacing w:line="360" w:lineRule="auto"/>
        <w:jc w:val="both"/>
        <w:rPr>
          <w:i/>
          <w:iCs/>
          <w:noProof/>
          <w:lang w:val="en-US"/>
        </w:rPr>
      </w:pPr>
      <w:r w:rsidRPr="00264C61">
        <w:rPr>
          <w:i/>
          <w:iCs/>
          <w:noProof/>
          <w:lang w:val="en-US"/>
        </w:rPr>
        <w:t>Respiratory tract infections and pulmonary inflammation</w:t>
      </w:r>
    </w:p>
    <w:p w14:paraId="681F94E3" w14:textId="2430E749" w:rsidR="00264C61" w:rsidRPr="00264C61" w:rsidRDefault="00264C61" w:rsidP="00264C61">
      <w:pPr>
        <w:spacing w:line="360" w:lineRule="auto"/>
        <w:jc w:val="both"/>
        <w:rPr>
          <w:noProof/>
          <w:lang w:val="en-US"/>
        </w:rPr>
      </w:pPr>
      <w:r w:rsidRPr="00264C61">
        <w:rPr>
          <w:noProof/>
          <w:lang w:val="en-US"/>
        </w:rPr>
        <w:lastRenderedPageBreak/>
        <w:t xml:space="preserve">In the respiratory tract, </w:t>
      </w:r>
      <w:r w:rsidRPr="00264C61">
        <w:rPr>
          <w:i/>
          <w:iCs/>
          <w:noProof/>
          <w:lang w:val="en-US"/>
        </w:rPr>
        <w:t>P. intermedia</w:t>
      </w:r>
      <w:r w:rsidRPr="00264C61">
        <w:rPr>
          <w:noProof/>
          <w:lang w:val="en-US"/>
        </w:rPr>
        <w:t xml:space="preserve"> is most often implicated in aspiration-related and polymicrobial pulmonary infections involving oral anaerobes</w:t>
      </w:r>
      <w:r w:rsidR="009A1778">
        <w:rPr>
          <w:noProof/>
          <w:vertAlign w:val="superscript"/>
          <w:lang w:val="en-US"/>
        </w:rPr>
        <w:t>130</w:t>
      </w:r>
      <w:r w:rsidR="002638F5">
        <w:rPr>
          <w:noProof/>
          <w:lang w:val="en-US"/>
        </w:rPr>
        <w:t xml:space="preserve">. </w:t>
      </w:r>
      <w:r w:rsidRPr="00264C61">
        <w:rPr>
          <w:noProof/>
          <w:lang w:val="en-US"/>
        </w:rPr>
        <w:t>Experimental and clinical evidence suggests that this species can exacerbate pneumonia severity when present alongside other respiratory pathogens, partly through modulation of host immune responses</w:t>
      </w:r>
      <w:r w:rsidR="004C0A3A">
        <w:rPr>
          <w:rStyle w:val="Rimandonotadichiusura"/>
          <w:noProof/>
          <w:lang w:val="en-US"/>
        </w:rPr>
        <w:endnoteReference w:id="133"/>
      </w:r>
      <w:r w:rsidRPr="00264C61">
        <w:rPr>
          <w:noProof/>
          <w:lang w:val="en-US"/>
        </w:rPr>
        <w:t xml:space="preserve">. Animal models indicate that secreted products of </w:t>
      </w:r>
      <w:r w:rsidRPr="00264C61">
        <w:rPr>
          <w:i/>
          <w:iCs/>
          <w:noProof/>
          <w:lang w:val="en-US"/>
        </w:rPr>
        <w:t>P. intermedia</w:t>
      </w:r>
      <w:r w:rsidRPr="00264C61">
        <w:rPr>
          <w:noProof/>
          <w:lang w:val="en-US"/>
        </w:rPr>
        <w:t xml:space="preserve"> may impair neutrophil bactericidal activity and disrupt effective clearance mechanisms, thereby amplifying inflammatory lung damage during mixed infections</w:t>
      </w:r>
      <w:r w:rsidR="004C0A3A">
        <w:rPr>
          <w:rStyle w:val="Rimandonotadichiusura"/>
          <w:noProof/>
          <w:lang w:val="en-US"/>
        </w:rPr>
        <w:endnoteReference w:id="134"/>
      </w:r>
      <w:r w:rsidRPr="00264C61">
        <w:rPr>
          <w:noProof/>
          <w:lang w:val="en-US"/>
        </w:rPr>
        <w:t xml:space="preserve">. These findings support a contributory, rather than primary, pathogenic role for </w:t>
      </w:r>
      <w:r w:rsidRPr="00264C61">
        <w:rPr>
          <w:i/>
          <w:iCs/>
          <w:noProof/>
          <w:lang w:val="en-US"/>
        </w:rPr>
        <w:t>P. intermedia</w:t>
      </w:r>
      <w:r w:rsidRPr="00264C61">
        <w:rPr>
          <w:noProof/>
          <w:lang w:val="en-US"/>
        </w:rPr>
        <w:t xml:space="preserve"> in respiratory disease, particularly in elderly or immunocompromised individuals.</w:t>
      </w:r>
    </w:p>
    <w:p w14:paraId="3B56D611" w14:textId="77777777" w:rsidR="00264C61" w:rsidRPr="00264C61" w:rsidRDefault="00264C61" w:rsidP="00264C61">
      <w:pPr>
        <w:spacing w:line="360" w:lineRule="auto"/>
        <w:jc w:val="both"/>
        <w:rPr>
          <w:i/>
          <w:iCs/>
          <w:noProof/>
          <w:lang w:val="en-US"/>
        </w:rPr>
      </w:pPr>
      <w:r w:rsidRPr="00264C61">
        <w:rPr>
          <w:i/>
          <w:iCs/>
          <w:noProof/>
          <w:lang w:val="en-US"/>
        </w:rPr>
        <w:t>Oncological associations: limited and emerging evidence</w:t>
      </w:r>
    </w:p>
    <w:p w14:paraId="17FC121D" w14:textId="77777777" w:rsidR="006F024F" w:rsidRDefault="00264C61" w:rsidP="006F024F">
      <w:pPr>
        <w:spacing w:line="360" w:lineRule="auto"/>
        <w:jc w:val="both"/>
        <w:rPr>
          <w:lang w:val="en-US"/>
        </w:rPr>
      </w:pPr>
      <w:r w:rsidRPr="00264C61">
        <w:rPr>
          <w:noProof/>
          <w:lang w:val="en-US"/>
        </w:rPr>
        <w:t xml:space="preserve">Compared with </w:t>
      </w:r>
      <w:r w:rsidRPr="00264C61">
        <w:rPr>
          <w:i/>
          <w:iCs/>
          <w:noProof/>
          <w:lang w:val="en-US"/>
        </w:rPr>
        <w:t>Fusobacterium nucleatum</w:t>
      </w:r>
      <w:r w:rsidRPr="00264C61">
        <w:rPr>
          <w:noProof/>
          <w:lang w:val="en-US"/>
        </w:rPr>
        <w:t xml:space="preserve">, the oncological relevance of </w:t>
      </w:r>
      <w:r w:rsidRPr="00264C61">
        <w:rPr>
          <w:i/>
          <w:iCs/>
          <w:noProof/>
          <w:lang w:val="en-US"/>
        </w:rPr>
        <w:t>P. intermedia</w:t>
      </w:r>
      <w:r w:rsidRPr="00264C61">
        <w:rPr>
          <w:noProof/>
          <w:lang w:val="en-US"/>
        </w:rPr>
        <w:t xml:space="preserve"> remains considerably less established. Microbiome profiling studies have reported increased abundance of </w:t>
      </w:r>
      <w:r w:rsidRPr="00264C61">
        <w:rPr>
          <w:i/>
          <w:iCs/>
          <w:noProof/>
          <w:lang w:val="en-US"/>
        </w:rPr>
        <w:t>Prevotella</w:t>
      </w:r>
      <w:r w:rsidRPr="00264C61">
        <w:rPr>
          <w:noProof/>
          <w:lang w:val="en-US"/>
        </w:rPr>
        <w:t xml:space="preserve"> species, including </w:t>
      </w:r>
      <w:r w:rsidRPr="00264C61">
        <w:rPr>
          <w:i/>
          <w:iCs/>
          <w:noProof/>
          <w:lang w:val="en-US"/>
        </w:rPr>
        <w:t>P. intermedia</w:t>
      </w:r>
      <w:r w:rsidRPr="00264C61">
        <w:rPr>
          <w:noProof/>
          <w:lang w:val="en-US"/>
        </w:rPr>
        <w:t>, in colorectal and oral squamous cell carcinoma tissues relative to adjacent non-malignant mucosa</w:t>
      </w:r>
      <w:r w:rsidR="006F024F">
        <w:rPr>
          <w:rStyle w:val="Rimandonotadichiusura"/>
          <w:noProof/>
          <w:lang w:val="en-US"/>
        </w:rPr>
        <w:endnoteReference w:id="135"/>
      </w:r>
      <w:r w:rsidRPr="00264C61">
        <w:rPr>
          <w:noProof/>
          <w:lang w:val="en-US"/>
        </w:rPr>
        <w:t>. Experimental data suggest that secreted virulence factors such as interpain A may influence epithelial proliferation, migration, and inflammatory signaling in vitro and in animal models, potentially shaping a tumor-promoting microenvironment. However, current evidence supports a secondary, context-dependent role rather than a direct oncogenic function</w:t>
      </w:r>
      <w:r>
        <w:rPr>
          <w:rStyle w:val="Rimandonotadichiusura"/>
          <w:lang w:val="en-US"/>
        </w:rPr>
        <w:endnoteReference w:id="136"/>
      </w:r>
      <w:r w:rsidRPr="00264C61">
        <w:rPr>
          <w:noProof/>
          <w:lang w:val="en-US"/>
        </w:rPr>
        <w:t>.</w:t>
      </w:r>
      <w:r w:rsidRPr="00264C61">
        <w:rPr>
          <w:lang w:val="en-US"/>
        </w:rPr>
        <w:t xml:space="preserve"> </w:t>
      </w:r>
    </w:p>
    <w:p w14:paraId="3952E258" w14:textId="6642491F" w:rsidR="006F024F" w:rsidRPr="006F024F" w:rsidRDefault="006F024F" w:rsidP="006F024F">
      <w:pPr>
        <w:spacing w:line="360" w:lineRule="auto"/>
        <w:jc w:val="both"/>
        <w:rPr>
          <w:i/>
          <w:iCs/>
          <w:lang w:val="en-US"/>
        </w:rPr>
      </w:pPr>
      <w:r w:rsidRPr="006F024F">
        <w:rPr>
          <w:i/>
          <w:iCs/>
          <w:lang w:val="en-US"/>
        </w:rPr>
        <w:t>Infectious Pericarditis and Cardiac Complications</w:t>
      </w:r>
    </w:p>
    <w:p w14:paraId="2F9474A3" w14:textId="1E94AD2E" w:rsidR="00264C61" w:rsidRDefault="006F024F" w:rsidP="00264C61">
      <w:pPr>
        <w:spacing w:line="360" w:lineRule="auto"/>
        <w:jc w:val="both"/>
        <w:rPr>
          <w:lang w:val="en-US"/>
        </w:rPr>
      </w:pPr>
      <w:r w:rsidRPr="00C73F3D">
        <w:rPr>
          <w:i/>
          <w:iCs/>
          <w:lang w:val="en-US"/>
        </w:rPr>
        <w:t>Prevotella intermedia</w:t>
      </w:r>
      <w:r w:rsidRPr="00C73F3D">
        <w:rPr>
          <w:lang w:val="en-US"/>
        </w:rPr>
        <w:t> has been documented, although rarely, as a causative agent in bacterial pericarditis (infection of the fibrous pericardial sac) presenting with massive pericardial effusion fluid accumulation and hemodynamic pericardial tamponade (compression of cardiac filling). A clinical case documentation involved a 70-year-old male patient with predisposing cardiac risk factors (chronic heart failure, stage 5 chronic kidney disease, diabetes mellitus) presenting with fever, dyspnea, and imaging-documented massive pericardial fluid accumulation. Bacterial culture of aspirated pericardial fluid identified</w:t>
      </w:r>
      <w:r w:rsidR="002638F5">
        <w:rPr>
          <w:lang w:val="en-US"/>
        </w:rPr>
        <w:t xml:space="preserve"> </w:t>
      </w:r>
      <w:r w:rsidRPr="00C73F3D">
        <w:rPr>
          <w:i/>
          <w:iCs/>
          <w:lang w:val="en-US"/>
        </w:rPr>
        <w:t>P. intermedia</w:t>
      </w:r>
      <w:r w:rsidRPr="00C73F3D">
        <w:rPr>
          <w:lang w:val="en-US"/>
        </w:rPr>
        <w:t> as the causative pathogen, establishing clinical reality that this organism represents a potential extraoral pathogen capable of life-threatening cardiac infection complications</w:t>
      </w:r>
      <w:r>
        <w:rPr>
          <w:rStyle w:val="Rimandonotadichiusura"/>
          <w:lang w:val="en-US"/>
        </w:rPr>
        <w:endnoteReference w:id="137"/>
      </w:r>
      <w:r w:rsidR="002638F5">
        <w:rPr>
          <w:lang w:val="en-US"/>
        </w:rPr>
        <w:t>.</w:t>
      </w:r>
    </w:p>
    <w:p w14:paraId="2EB93648" w14:textId="77777777" w:rsidR="00A90A67" w:rsidRPr="00A90A67" w:rsidRDefault="00A90A67" w:rsidP="00A90A67">
      <w:pPr>
        <w:spacing w:line="360" w:lineRule="auto"/>
        <w:jc w:val="both"/>
        <w:rPr>
          <w:i/>
          <w:iCs/>
          <w:lang w:val="en-US"/>
        </w:rPr>
      </w:pPr>
      <w:r w:rsidRPr="00A90A67">
        <w:rPr>
          <w:i/>
          <w:iCs/>
          <w:lang w:val="en-US"/>
        </w:rPr>
        <w:t>Pneumonia and Respiratory Tract Infection</w:t>
      </w:r>
    </w:p>
    <w:p w14:paraId="12642214" w14:textId="1606C957" w:rsidR="00A90A67" w:rsidRPr="00A90A67" w:rsidRDefault="00A90A67" w:rsidP="00A90A67">
      <w:pPr>
        <w:spacing w:line="360" w:lineRule="auto"/>
        <w:jc w:val="both"/>
        <w:rPr>
          <w:lang w:val="en-US"/>
        </w:rPr>
      </w:pPr>
      <w:r w:rsidRPr="00A90A67">
        <w:rPr>
          <w:i/>
          <w:iCs/>
          <w:lang w:val="en-US"/>
        </w:rPr>
        <w:lastRenderedPageBreak/>
        <w:t>Prevotella intermedia</w:t>
      </w:r>
      <w:r w:rsidRPr="00A90A67">
        <w:rPr>
          <w:lang w:val="en-US"/>
        </w:rPr>
        <w:t xml:space="preserve"> contributes to respiratory tract infections primarily in the context of aspiration-related and polymicrobial pneumonia involving oral anaerobes. Clinical observations indicate that elderly individuals with increased oral </w:t>
      </w:r>
      <w:r w:rsidRPr="00A90A67">
        <w:rPr>
          <w:i/>
          <w:iCs/>
          <w:lang w:val="en-US"/>
        </w:rPr>
        <w:t>Prevotella</w:t>
      </w:r>
      <w:r w:rsidRPr="00A90A67">
        <w:rPr>
          <w:lang w:val="en-US"/>
        </w:rPr>
        <w:t xml:space="preserve"> abundance experience worse pneumonia outcomes compared with those dominated by other anaerobic genera, suggesting differential virulence behavior in pulmonary infections</w:t>
      </w:r>
      <w:r w:rsidR="00837136">
        <w:rPr>
          <w:vertAlign w:val="superscript"/>
          <w:lang w:val="en-US"/>
        </w:rPr>
        <w:t>11</w:t>
      </w:r>
      <w:r w:rsidR="00837136" w:rsidRPr="00837136">
        <w:rPr>
          <w:vertAlign w:val="superscript"/>
          <w:lang w:val="en-US"/>
        </w:rPr>
        <w:t>6</w:t>
      </w:r>
      <w:r w:rsidRPr="00837136">
        <w:rPr>
          <w:lang w:val="en-US"/>
        </w:rPr>
        <w:t>.</w:t>
      </w:r>
    </w:p>
    <w:p w14:paraId="24B0A020" w14:textId="4C5D0BFC" w:rsidR="002638F5" w:rsidRDefault="00A90A67" w:rsidP="00A90A67">
      <w:pPr>
        <w:spacing w:line="360" w:lineRule="auto"/>
        <w:jc w:val="both"/>
        <w:rPr>
          <w:lang w:val="en-US"/>
        </w:rPr>
      </w:pPr>
      <w:r w:rsidRPr="00A90A67">
        <w:rPr>
          <w:lang w:val="en-US"/>
        </w:rPr>
        <w:t xml:space="preserve">Experimental murine models demonstrate that </w:t>
      </w:r>
      <w:r w:rsidRPr="00A90A67">
        <w:rPr>
          <w:i/>
          <w:iCs/>
          <w:lang w:val="en-US"/>
        </w:rPr>
        <w:t>P. intermedia</w:t>
      </w:r>
      <w:r w:rsidRPr="00A90A67">
        <w:rPr>
          <w:lang w:val="en-US"/>
        </w:rPr>
        <w:t xml:space="preserve"> exacerbates pneumonia caused by oral streptococci by inducing neutrophil dysfunction, resulting in reduced survival, increased bacterial dissemination, and more severe lung pathology compared with monoinfection</w:t>
      </w:r>
      <w:r w:rsidR="00837136">
        <w:rPr>
          <w:vertAlign w:val="superscript"/>
          <w:lang w:val="en-US"/>
        </w:rPr>
        <w:t>116</w:t>
      </w:r>
      <w:r w:rsidR="002638F5">
        <w:rPr>
          <w:lang w:val="en-US"/>
        </w:rPr>
        <w:t>.</w:t>
      </w:r>
    </w:p>
    <w:p w14:paraId="61E14733" w14:textId="37787F18" w:rsidR="00A90A67" w:rsidRPr="00A90A67" w:rsidRDefault="00A90A67" w:rsidP="00A90A67">
      <w:pPr>
        <w:spacing w:line="360" w:lineRule="auto"/>
        <w:jc w:val="both"/>
        <w:rPr>
          <w:lang w:val="en-US"/>
        </w:rPr>
      </w:pPr>
      <w:r w:rsidRPr="00A90A67">
        <w:rPr>
          <w:lang w:val="en-US"/>
        </w:rPr>
        <w:t xml:space="preserve">Mechanistically, secreted products of </w:t>
      </w:r>
      <w:r w:rsidRPr="00A90A67">
        <w:rPr>
          <w:i/>
          <w:iCs/>
          <w:lang w:val="en-US"/>
        </w:rPr>
        <w:t>P. intermedia</w:t>
      </w:r>
      <w:r w:rsidRPr="00A90A67">
        <w:rPr>
          <w:lang w:val="en-US"/>
        </w:rPr>
        <w:t xml:space="preserve"> impair neutrophil bactericidal activity and macrophage recruitment, partly through suppression of CCR2 expression and degradation of neutrophil extracellular traps, thereby compromising pulmonary host defense during mixed infections</w:t>
      </w:r>
      <w:r w:rsidR="00837136">
        <w:rPr>
          <w:vertAlign w:val="superscript"/>
          <w:lang w:val="en-US"/>
        </w:rPr>
        <w:t>116</w:t>
      </w:r>
      <w:r w:rsidRPr="00A90A67">
        <w:rPr>
          <w:lang w:val="en-US"/>
        </w:rPr>
        <w:t>.</w:t>
      </w:r>
    </w:p>
    <w:p w14:paraId="1A7565B2" w14:textId="77777777" w:rsidR="00A90A67" w:rsidRPr="00A90A67" w:rsidRDefault="00A90A67" w:rsidP="00A90A67">
      <w:pPr>
        <w:spacing w:line="360" w:lineRule="auto"/>
        <w:jc w:val="both"/>
        <w:rPr>
          <w:i/>
          <w:iCs/>
          <w:lang w:val="en-US"/>
        </w:rPr>
      </w:pPr>
      <w:r w:rsidRPr="00A90A67">
        <w:rPr>
          <w:i/>
          <w:iCs/>
          <w:lang w:val="en-US"/>
        </w:rPr>
        <w:t>Severe Asthma Phenotype and Systemic Respiratory Inflammation</w:t>
      </w:r>
    </w:p>
    <w:p w14:paraId="2256BA1B" w14:textId="196B3BCD" w:rsidR="006F024F" w:rsidRPr="00C73F3D" w:rsidRDefault="00A90A67" w:rsidP="00264C61">
      <w:pPr>
        <w:spacing w:line="360" w:lineRule="auto"/>
        <w:jc w:val="both"/>
        <w:rPr>
          <w:lang w:val="en-US"/>
        </w:rPr>
      </w:pPr>
      <w:r w:rsidRPr="00A90A67">
        <w:rPr>
          <w:lang w:val="en-US"/>
        </w:rPr>
        <w:t xml:space="preserve">Epidemiological studies have identified a significant association between periodontitis and severe asthma phenotypes, even after adjustment for confounding factors. Elevated subgingival levels of </w:t>
      </w:r>
      <w:r w:rsidRPr="00A90A67">
        <w:rPr>
          <w:i/>
          <w:iCs/>
          <w:lang w:val="en-US"/>
        </w:rPr>
        <w:t>P. intermedia</w:t>
      </w:r>
      <w:r w:rsidRPr="00A90A67">
        <w:rPr>
          <w:lang w:val="en-US"/>
        </w:rPr>
        <w:t xml:space="preserve"> show an independent association with severe asthma, supporting a mechanistic link between oral microbial dysbiosis and systemic airway inflammation</w:t>
      </w:r>
      <w:r w:rsidR="00D62F67">
        <w:rPr>
          <w:rStyle w:val="Rimandonotadichiusura"/>
          <w:lang w:val="en-US"/>
        </w:rPr>
        <w:endnoteReference w:id="138"/>
      </w:r>
      <w:r w:rsidRPr="00A90A67">
        <w:rPr>
          <w:lang w:val="en-US"/>
        </w:rPr>
        <w:t>.</w:t>
      </w:r>
    </w:p>
    <w:p w14:paraId="6EEB6771" w14:textId="2AA0AB78" w:rsidR="00264C61" w:rsidRPr="00264C61" w:rsidRDefault="00264C61" w:rsidP="006F024F">
      <w:pPr>
        <w:spacing w:line="360" w:lineRule="auto"/>
        <w:jc w:val="both"/>
        <w:rPr>
          <w:noProof/>
          <w:lang w:val="en-US"/>
        </w:rPr>
      </w:pPr>
      <w:r w:rsidRPr="00264C61">
        <w:rPr>
          <w:noProof/>
          <w:lang w:val="en-US"/>
        </w:rPr>
        <w:t xml:space="preserve">A distinctive biological feature of </w:t>
      </w:r>
      <w:r w:rsidRPr="00264C61">
        <w:rPr>
          <w:i/>
          <w:iCs/>
          <w:noProof/>
          <w:lang w:val="en-US"/>
        </w:rPr>
        <w:t>P. intermedia</w:t>
      </w:r>
      <w:r w:rsidRPr="00264C61">
        <w:rPr>
          <w:noProof/>
          <w:lang w:val="en-US"/>
        </w:rPr>
        <w:t xml:space="preserve"> is its selective affinity for steroid hormone-rich mucosal environments. The bacterium can utilize progesterone and related sex hormones as alternative growth factors, a property originally described in periodontal contexts and later linked to pregnancy-associated shifts in oral microbial composition. This hormone-responsive phenotype provides a biological rationale for the frequent detection of </w:t>
      </w:r>
      <w:r w:rsidRPr="00264C61">
        <w:rPr>
          <w:i/>
          <w:iCs/>
          <w:noProof/>
          <w:lang w:val="en-US"/>
        </w:rPr>
        <w:t>P. intermedia</w:t>
      </w:r>
      <w:r w:rsidRPr="00264C61">
        <w:rPr>
          <w:noProof/>
          <w:lang w:val="en-US"/>
        </w:rPr>
        <w:t xml:space="preserve"> in female reproductive tract environments, particularly during periods of hormonal fluctuation such as puberty and </w:t>
      </w:r>
      <w:r w:rsidRPr="006F024F">
        <w:rPr>
          <w:noProof/>
          <w:lang w:val="en-US"/>
        </w:rPr>
        <w:t>pregnancy</w:t>
      </w:r>
      <w:r w:rsidRPr="006F024F">
        <w:rPr>
          <w:rStyle w:val="Rimandonotadichiusura"/>
          <w:lang w:val="en-US"/>
        </w:rPr>
        <w:endnoteReference w:id="139"/>
      </w:r>
      <w:r w:rsidRPr="006F024F">
        <w:rPr>
          <w:rStyle w:val="Rimandonotadichiusura"/>
          <w:lang w:val="en-US"/>
        </w:rPr>
        <w:endnoteReference w:id="140"/>
      </w:r>
      <w:r w:rsidRPr="006F024F">
        <w:rPr>
          <w:noProof/>
          <w:lang w:val="en-US"/>
        </w:rPr>
        <w:t>.</w:t>
      </w:r>
    </w:p>
    <w:p w14:paraId="0D490385" w14:textId="36F948A0" w:rsidR="004C0A3A" w:rsidRPr="006F024F" w:rsidRDefault="00264C61" w:rsidP="00D62F67">
      <w:pPr>
        <w:spacing w:line="360" w:lineRule="auto"/>
        <w:jc w:val="both"/>
        <w:rPr>
          <w:noProof/>
          <w:lang w:val="en-US"/>
        </w:rPr>
      </w:pPr>
      <w:r w:rsidRPr="00264C61">
        <w:rPr>
          <w:noProof/>
          <w:lang w:val="en-US"/>
        </w:rPr>
        <w:t xml:space="preserve">Recent advances in sequencing technologies have challenged the traditional concept of a sterile uterine cavity, demonstrating that the endometrium can host a low-biomass microbiota. Within this context, </w:t>
      </w:r>
      <w:r w:rsidRPr="00264C61">
        <w:rPr>
          <w:i/>
          <w:iCs/>
          <w:noProof/>
          <w:lang w:val="en-US"/>
        </w:rPr>
        <w:t>Prevotella</w:t>
      </w:r>
      <w:r w:rsidRPr="00264C61">
        <w:rPr>
          <w:noProof/>
          <w:lang w:val="en-US"/>
        </w:rPr>
        <w:t xml:space="preserve"> species</w:t>
      </w:r>
      <w:r w:rsidR="006F024F">
        <w:rPr>
          <w:noProof/>
          <w:lang w:val="en-US"/>
        </w:rPr>
        <w:t xml:space="preserve">, </w:t>
      </w:r>
      <w:r w:rsidRPr="00264C61">
        <w:rPr>
          <w:noProof/>
          <w:lang w:val="en-US"/>
        </w:rPr>
        <w:t xml:space="preserve">including </w:t>
      </w:r>
      <w:r w:rsidRPr="00264C61">
        <w:rPr>
          <w:i/>
          <w:iCs/>
          <w:noProof/>
          <w:lang w:val="en-US"/>
        </w:rPr>
        <w:t>P. intermedia</w:t>
      </w:r>
      <w:r w:rsidR="006F024F">
        <w:rPr>
          <w:noProof/>
          <w:lang w:val="en-US"/>
        </w:rPr>
        <w:t xml:space="preserve">, </w:t>
      </w:r>
      <w:r w:rsidRPr="00264C61">
        <w:rPr>
          <w:noProof/>
          <w:lang w:val="en-US"/>
        </w:rPr>
        <w:t xml:space="preserve">have been implicated in endometrial dysbiosis and chronic low-grade inflammation. Experimental human endometrial epithelial models show that members of the </w:t>
      </w:r>
      <w:r w:rsidRPr="00264C61">
        <w:rPr>
          <w:i/>
          <w:iCs/>
          <w:noProof/>
          <w:lang w:val="en-US"/>
        </w:rPr>
        <w:t>Prevotella</w:t>
      </w:r>
      <w:r w:rsidRPr="00264C61">
        <w:rPr>
          <w:noProof/>
          <w:lang w:val="en-US"/>
        </w:rPr>
        <w:t xml:space="preserve"> genus can modulate innate immune signaling and compromise epithelial barrier integrity, </w:t>
      </w:r>
      <w:r w:rsidRPr="00264C61">
        <w:rPr>
          <w:noProof/>
          <w:lang w:val="en-US"/>
        </w:rPr>
        <w:lastRenderedPageBreak/>
        <w:t xml:space="preserve">mechanisms that may be relevant to conditions such as chronic endometritis and endometriosis. Although species-level attribution remains limited in some studies, these findings support a plausible contributory role for </w:t>
      </w:r>
      <w:r w:rsidRPr="00264C61">
        <w:rPr>
          <w:i/>
          <w:iCs/>
          <w:noProof/>
          <w:lang w:val="en-US"/>
        </w:rPr>
        <w:t>P. intermedia</w:t>
      </w:r>
      <w:r w:rsidRPr="00264C61">
        <w:rPr>
          <w:noProof/>
          <w:lang w:val="en-US"/>
        </w:rPr>
        <w:t xml:space="preserve"> in endometrial immune dysregulation and disease persistence rather than as a primary etiologic agent.</w:t>
      </w:r>
    </w:p>
    <w:p w14:paraId="4A2A11A6" w14:textId="77777777" w:rsidR="00C73F3D" w:rsidRPr="006F024F" w:rsidRDefault="00C73F3D" w:rsidP="00D62F67">
      <w:pPr>
        <w:spacing w:line="360" w:lineRule="auto"/>
        <w:rPr>
          <w:i/>
          <w:iCs/>
          <w:lang w:val="en-US"/>
        </w:rPr>
      </w:pPr>
      <w:r w:rsidRPr="006F024F">
        <w:rPr>
          <w:i/>
          <w:iCs/>
          <w:lang w:val="en-US"/>
        </w:rPr>
        <w:t>Adverse Pregnancy Complications and Fetoplacental Infection</w:t>
      </w:r>
    </w:p>
    <w:p w14:paraId="2C4EA8FE" w14:textId="3A2B0CDA" w:rsidR="002638F5" w:rsidRDefault="00C73F3D" w:rsidP="00D62F67">
      <w:pPr>
        <w:spacing w:line="360" w:lineRule="auto"/>
        <w:jc w:val="both"/>
        <w:rPr>
          <w:lang w:val="en-US"/>
        </w:rPr>
      </w:pPr>
      <w:r w:rsidRPr="00C73F3D">
        <w:rPr>
          <w:lang w:val="en-US"/>
        </w:rPr>
        <w:t>Accumulating evidence implicates</w:t>
      </w:r>
      <w:r w:rsidR="00F40934">
        <w:rPr>
          <w:lang w:val="en-US"/>
        </w:rPr>
        <w:t xml:space="preserve"> </w:t>
      </w:r>
      <w:r w:rsidRPr="00C73F3D">
        <w:rPr>
          <w:i/>
          <w:iCs/>
          <w:lang w:val="en-US"/>
        </w:rPr>
        <w:t>Prevotella</w:t>
      </w:r>
      <w:r w:rsidR="00F40934">
        <w:rPr>
          <w:lang w:val="en-US"/>
        </w:rPr>
        <w:t xml:space="preserve"> </w:t>
      </w:r>
      <w:r w:rsidRPr="00C73F3D">
        <w:rPr>
          <w:lang w:val="en-US"/>
        </w:rPr>
        <w:t>species</w:t>
      </w:r>
      <w:r w:rsidR="00F40934">
        <w:rPr>
          <w:lang w:val="en-US"/>
        </w:rPr>
        <w:t xml:space="preserve">, </w:t>
      </w:r>
      <w:r w:rsidRPr="00C73F3D">
        <w:rPr>
          <w:lang w:val="en-US"/>
        </w:rPr>
        <w:t>including </w:t>
      </w:r>
      <w:r w:rsidRPr="00C73F3D">
        <w:rPr>
          <w:i/>
          <w:iCs/>
          <w:lang w:val="en-US"/>
        </w:rPr>
        <w:t>P. intermedia</w:t>
      </w:r>
      <w:r w:rsidR="00F40934">
        <w:rPr>
          <w:lang w:val="en-US"/>
        </w:rPr>
        <w:t xml:space="preserve">, </w:t>
      </w:r>
      <w:r w:rsidRPr="00C73F3D">
        <w:rPr>
          <w:lang w:val="en-US"/>
        </w:rPr>
        <w:t>in fetoplacental bacterial infection and pregnancy-associated complications. Periodontal pathogens, including</w:t>
      </w:r>
      <w:r w:rsidR="00F40934">
        <w:rPr>
          <w:lang w:val="en-US"/>
        </w:rPr>
        <w:t xml:space="preserve"> </w:t>
      </w:r>
      <w:r w:rsidRPr="00C73F3D">
        <w:rPr>
          <w:i/>
          <w:iCs/>
          <w:lang w:val="en-US"/>
        </w:rPr>
        <w:t>P. intermedia</w:t>
      </w:r>
      <w:r w:rsidRPr="00C73F3D">
        <w:rPr>
          <w:lang w:val="en-US"/>
        </w:rPr>
        <w:t>, achieve hematogenous dissemination from subgingival disease sites toward the feto-placental unit through bacteremic episodes associated with periodontal disease and dental procedures. Within the placental microecological context,</w:t>
      </w:r>
      <w:r w:rsidR="00F40934">
        <w:rPr>
          <w:lang w:val="en-US"/>
        </w:rPr>
        <w:t xml:space="preserve"> </w:t>
      </w:r>
      <w:r w:rsidRPr="00C73F3D">
        <w:rPr>
          <w:i/>
          <w:iCs/>
          <w:lang w:val="en-US"/>
        </w:rPr>
        <w:t>P. intermedia</w:t>
      </w:r>
      <w:r w:rsidR="00F40934">
        <w:rPr>
          <w:lang w:val="en-US"/>
        </w:rPr>
        <w:t xml:space="preserve"> </w:t>
      </w:r>
      <w:r w:rsidRPr="00C73F3D">
        <w:rPr>
          <w:lang w:val="en-US"/>
        </w:rPr>
        <w:t>may establish invasive infection, trigger toll-like receptor-dependent placental inflammatory signaling cascades, and stimulate pro-inflammatory cytokine production that precipitates preterm labor onset, premature placental membrane rupture, or intrauterine fetal demise</w:t>
      </w:r>
      <w:r w:rsidR="00AD3CDD">
        <w:rPr>
          <w:rStyle w:val="Rimandonotadichiusura"/>
          <w:lang w:val="en-US"/>
        </w:rPr>
        <w:endnoteReference w:id="141"/>
      </w:r>
      <w:r w:rsidR="002638F5">
        <w:rPr>
          <w:lang w:val="en-US"/>
        </w:rPr>
        <w:t>.</w:t>
      </w:r>
    </w:p>
    <w:p w14:paraId="084DDB42" w14:textId="35422077" w:rsidR="00C73F3D" w:rsidRPr="00C73F3D" w:rsidRDefault="00C73F3D" w:rsidP="00D62F67">
      <w:pPr>
        <w:spacing w:line="360" w:lineRule="auto"/>
        <w:jc w:val="both"/>
        <w:rPr>
          <w:lang w:val="en-US"/>
        </w:rPr>
      </w:pPr>
      <w:r w:rsidRPr="00C73F3D">
        <w:rPr>
          <w:lang w:val="en-US"/>
        </w:rPr>
        <w:t>The bacterium</w:t>
      </w:r>
      <w:r w:rsidR="00053BFA">
        <w:rPr>
          <w:lang w:val="en-US"/>
        </w:rPr>
        <w:t>’</w:t>
      </w:r>
      <w:r w:rsidRPr="00C73F3D">
        <w:rPr>
          <w:lang w:val="en-US"/>
        </w:rPr>
        <w:t>s inherent biofilm-formation capability facilitates persistent infection within endometrial epithelial tissue, potentially sustaining chronic inflammatory states predisposing toward adverse gestational outcomes. Genomic analysis indicates that</w:t>
      </w:r>
      <w:r w:rsidR="002638F5">
        <w:rPr>
          <w:lang w:val="en-US"/>
        </w:rPr>
        <w:t xml:space="preserve"> </w:t>
      </w:r>
      <w:r w:rsidRPr="00C73F3D">
        <w:rPr>
          <w:i/>
          <w:iCs/>
          <w:lang w:val="en-US"/>
        </w:rPr>
        <w:t>P. intermedia</w:t>
      </w:r>
      <w:r w:rsidR="002638F5">
        <w:rPr>
          <w:i/>
          <w:iCs/>
          <w:lang w:val="en-US"/>
        </w:rPr>
        <w:t xml:space="preserve"> </w:t>
      </w:r>
      <w:r w:rsidRPr="00C73F3D">
        <w:rPr>
          <w:lang w:val="en-US"/>
        </w:rPr>
        <w:t>possesses genetic determinants encoding Type IX secretion apparatus components and polysaccharide-degrading enzymatic systems facilitating penetration through endometrial epithelial barrier defenses</w:t>
      </w:r>
      <w:r w:rsidR="00AD3CDD">
        <w:rPr>
          <w:rStyle w:val="Rimandonotadichiusura"/>
          <w:lang w:val="en-US"/>
        </w:rPr>
        <w:endnoteReference w:id="142"/>
      </w:r>
      <w:r w:rsidR="002638F5">
        <w:rPr>
          <w:lang w:val="en-US"/>
        </w:rPr>
        <w:t>.</w:t>
      </w:r>
    </w:p>
    <w:p w14:paraId="76F95A9E" w14:textId="5716447A" w:rsidR="00A90A67" w:rsidRPr="006F024F" w:rsidRDefault="00C73F3D" w:rsidP="00D62F67">
      <w:pPr>
        <w:spacing w:line="360" w:lineRule="auto"/>
        <w:jc w:val="both"/>
        <w:rPr>
          <w:i/>
          <w:iCs/>
          <w:lang w:val="en-US"/>
        </w:rPr>
      </w:pPr>
      <w:r w:rsidRPr="006F024F">
        <w:rPr>
          <w:i/>
          <w:iCs/>
          <w:lang w:val="en-US"/>
        </w:rPr>
        <w:t>Bacterial Vaginosis and Upper Reproductive Tract Dysbiosis</w:t>
      </w:r>
    </w:p>
    <w:p w14:paraId="30E64951" w14:textId="62D6A853" w:rsidR="00C73F3D" w:rsidRPr="00C73F3D" w:rsidRDefault="00C73F3D" w:rsidP="00D62F67">
      <w:pPr>
        <w:spacing w:line="360" w:lineRule="auto"/>
        <w:jc w:val="both"/>
        <w:rPr>
          <w:lang w:val="en-US"/>
        </w:rPr>
      </w:pPr>
      <w:r w:rsidRPr="00C73F3D">
        <w:rPr>
          <w:i/>
          <w:iCs/>
          <w:lang w:val="en-US"/>
        </w:rPr>
        <w:t>Prevotella intermedia</w:t>
      </w:r>
      <w:r w:rsidR="00891EEB">
        <w:rPr>
          <w:lang w:val="en-US"/>
        </w:rPr>
        <w:t xml:space="preserve"> </w:t>
      </w:r>
      <w:r w:rsidRPr="00C73F3D">
        <w:rPr>
          <w:lang w:val="en-US"/>
        </w:rPr>
        <w:t>and related</w:t>
      </w:r>
      <w:r w:rsidR="00891EEB">
        <w:rPr>
          <w:lang w:val="en-US"/>
        </w:rPr>
        <w:t xml:space="preserve"> </w:t>
      </w:r>
      <w:r w:rsidRPr="00C73F3D">
        <w:rPr>
          <w:i/>
          <w:iCs/>
          <w:lang w:val="en-US"/>
        </w:rPr>
        <w:t>Prevotella</w:t>
      </w:r>
      <w:r w:rsidR="00891EEB">
        <w:rPr>
          <w:lang w:val="en-US"/>
        </w:rPr>
        <w:t xml:space="preserve"> </w:t>
      </w:r>
      <w:r w:rsidRPr="00C73F3D">
        <w:rPr>
          <w:lang w:val="en-US"/>
        </w:rPr>
        <w:t>species constitute major bacterial constituents of the dysbiotic vaginal microbiota characteristic of bacterial vaginosis (BV). Within the BV microecological context,</w:t>
      </w:r>
      <w:r w:rsidR="00891EEB">
        <w:rPr>
          <w:lang w:val="en-US"/>
        </w:rPr>
        <w:t xml:space="preserve"> </w:t>
      </w:r>
      <w:r w:rsidRPr="00C73F3D">
        <w:rPr>
          <w:i/>
          <w:iCs/>
          <w:lang w:val="en-US"/>
        </w:rPr>
        <w:t>Prevotella</w:t>
      </w:r>
      <w:r w:rsidR="00891EEB">
        <w:rPr>
          <w:lang w:val="en-US"/>
        </w:rPr>
        <w:t xml:space="preserve"> </w:t>
      </w:r>
      <w:r w:rsidRPr="00C73F3D">
        <w:rPr>
          <w:lang w:val="en-US"/>
        </w:rPr>
        <w:t>species function as early-colonizing pioneering organisms that compromise endometrial epithelial barrier function, promote biofilm maturation, and create ecological opportunities facilitating secondary pathogenic colonization by</w:t>
      </w:r>
      <w:r w:rsidR="00891EEB">
        <w:rPr>
          <w:lang w:val="en-US"/>
        </w:rPr>
        <w:t xml:space="preserve"> </w:t>
      </w:r>
      <w:r w:rsidRPr="00C73F3D">
        <w:rPr>
          <w:i/>
          <w:iCs/>
          <w:lang w:val="en-US"/>
        </w:rPr>
        <w:t>Gardnerella vaginalis</w:t>
      </w:r>
      <w:r w:rsidR="00891EEB">
        <w:rPr>
          <w:lang w:val="en-US"/>
        </w:rPr>
        <w:t xml:space="preserve"> </w:t>
      </w:r>
      <w:r w:rsidRPr="00C73F3D">
        <w:rPr>
          <w:lang w:val="en-US"/>
        </w:rPr>
        <w:t>and other BV-associated microorganisms</w:t>
      </w:r>
      <w:r w:rsidR="005A5054">
        <w:rPr>
          <w:lang w:val="en-US"/>
        </w:rPr>
        <w:t>.</w:t>
      </w:r>
    </w:p>
    <w:p w14:paraId="136E62A8" w14:textId="23883937" w:rsidR="00E363D9" w:rsidRDefault="00C73F3D" w:rsidP="008124FE">
      <w:pPr>
        <w:spacing w:line="360" w:lineRule="auto"/>
        <w:jc w:val="both"/>
        <w:rPr>
          <w:lang w:val="en-US"/>
        </w:rPr>
      </w:pPr>
      <w:r w:rsidRPr="00C73F3D">
        <w:rPr>
          <w:lang w:val="en-US"/>
        </w:rPr>
        <w:t>Although</w:t>
      </w:r>
      <w:r w:rsidR="00891EEB">
        <w:rPr>
          <w:lang w:val="en-US"/>
        </w:rPr>
        <w:t xml:space="preserve"> </w:t>
      </w:r>
      <w:r w:rsidRPr="00C73F3D">
        <w:rPr>
          <w:i/>
          <w:iCs/>
          <w:lang w:val="en-US"/>
        </w:rPr>
        <w:t>Prevotella</w:t>
      </w:r>
      <w:r w:rsidR="00891EEB">
        <w:rPr>
          <w:lang w:val="en-US"/>
        </w:rPr>
        <w:t xml:space="preserve"> </w:t>
      </w:r>
      <w:r w:rsidRPr="00C73F3D">
        <w:rPr>
          <w:lang w:val="en-US"/>
        </w:rPr>
        <w:t>species demonstrate relatively modest direct pro-inflammatory activity toward endometrial epithelial cells during in vitro assessment, the genus substantially contributes to upper reproductive tract pathology through mechanisms of barrier function disruption, biofilm-mediated protection of secondary pathogens, and facilitation of ascending infection from lower to upper reproductive tract compartments.</w:t>
      </w:r>
      <w:r w:rsidR="00891EEB">
        <w:rPr>
          <w:lang w:val="en-US"/>
        </w:rPr>
        <w:t xml:space="preserve"> </w:t>
      </w:r>
      <w:r w:rsidRPr="00C73F3D">
        <w:rPr>
          <w:i/>
          <w:iCs/>
          <w:lang w:val="en-US"/>
        </w:rPr>
        <w:lastRenderedPageBreak/>
        <w:t>Prevotella</w:t>
      </w:r>
      <w:r w:rsidR="00891EEB">
        <w:rPr>
          <w:lang w:val="en-US"/>
        </w:rPr>
        <w:t xml:space="preserve"> </w:t>
      </w:r>
      <w:r w:rsidRPr="00C73F3D">
        <w:rPr>
          <w:lang w:val="en-US"/>
        </w:rPr>
        <w:t>species have been recovered from endometrial tissue and fallopian tube biopsies obtained from women with pelvic inflammatory disease (PID), endometrial inflammation (endometritis), and uterine infection (pyometra), indicating capacity for establishing upper reproductive tract infections. The documented association between</w:t>
      </w:r>
      <w:r w:rsidR="00891EEB">
        <w:rPr>
          <w:lang w:val="en-US"/>
        </w:rPr>
        <w:t xml:space="preserve"> </w:t>
      </w:r>
      <w:r w:rsidRPr="00C73F3D">
        <w:rPr>
          <w:i/>
          <w:iCs/>
          <w:lang w:val="en-US"/>
        </w:rPr>
        <w:t>Prevotella</w:t>
      </w:r>
      <w:r w:rsidR="00891EEB">
        <w:rPr>
          <w:lang w:val="en-US"/>
        </w:rPr>
        <w:t xml:space="preserve"> </w:t>
      </w:r>
      <w:r w:rsidRPr="00C73F3D">
        <w:rPr>
          <w:lang w:val="en-US"/>
        </w:rPr>
        <w:t>genus abundance and endometrial polyp formation, endometriosis development, and chronic endometrial tissue dysfunction suggests contributions to reproductive pathology.</w:t>
      </w:r>
      <w:r w:rsidR="00AD3CDD">
        <w:rPr>
          <w:lang w:val="en-US"/>
        </w:rPr>
        <w:t xml:space="preserve"> </w:t>
      </w:r>
      <w:r w:rsidR="00D62F67" w:rsidRPr="00D62F67">
        <w:rPr>
          <w:lang w:val="en-US"/>
        </w:rPr>
        <w:t xml:space="preserve">Prevotella species, rather than individual species such as </w:t>
      </w:r>
      <w:r w:rsidR="00D62F67" w:rsidRPr="00D62F67">
        <w:rPr>
          <w:i/>
          <w:iCs/>
          <w:lang w:val="en-US"/>
        </w:rPr>
        <w:t>P. intermedia</w:t>
      </w:r>
      <w:r w:rsidR="00D62F67" w:rsidRPr="00D62F67">
        <w:rPr>
          <w:lang w:val="en-US"/>
        </w:rPr>
        <w:t>, have been associated with endometrial dysbiosis and inflammatory microenvironments in women with endometriosis.</w:t>
      </w:r>
      <w:r w:rsidR="002958CC">
        <w:rPr>
          <w:lang w:val="en-US"/>
        </w:rPr>
        <w:t xml:space="preserve"> </w:t>
      </w:r>
      <w:r w:rsidR="002958CC" w:rsidRPr="002958CC">
        <w:rPr>
          <w:lang w:val="en-US"/>
        </w:rPr>
        <w:t xml:space="preserve">Current evidence does not support a sentinel or biomarker role for </w:t>
      </w:r>
      <w:r w:rsidR="002958CC" w:rsidRPr="002958CC">
        <w:rPr>
          <w:i/>
          <w:iCs/>
          <w:lang w:val="en-US"/>
        </w:rPr>
        <w:t>Prevotella intermedia</w:t>
      </w:r>
      <w:r w:rsidR="002958CC" w:rsidRPr="002958CC">
        <w:rPr>
          <w:lang w:val="en-US"/>
        </w:rPr>
        <w:t xml:space="preserve"> in endometriosis; its involvement appears context-dependent and likely secondary to broader microbial dysbiosis.</w:t>
      </w:r>
    </w:p>
    <w:p w14:paraId="1CEB7377" w14:textId="77777777" w:rsidR="00ED0C6E" w:rsidRDefault="00ED0C6E" w:rsidP="008124FE">
      <w:pPr>
        <w:spacing w:line="360" w:lineRule="auto"/>
        <w:jc w:val="both"/>
        <w:rPr>
          <w:lang w:val="en-US"/>
        </w:rPr>
      </w:pPr>
    </w:p>
    <w:p w14:paraId="76D10BC1" w14:textId="109490F2" w:rsidR="00E363D9" w:rsidRPr="00D80EF3" w:rsidRDefault="00E363D9" w:rsidP="004D10FB">
      <w:pPr>
        <w:pStyle w:val="Titolo1"/>
        <w:spacing w:line="360" w:lineRule="auto"/>
        <w:rPr>
          <w:sz w:val="28"/>
          <w:szCs w:val="28"/>
          <w:lang w:val="en-US"/>
        </w:rPr>
      </w:pPr>
      <w:bookmarkStart w:id="17" w:name="_Toc219243281"/>
      <w:r w:rsidRPr="00D80EF3">
        <w:rPr>
          <w:sz w:val="28"/>
          <w:szCs w:val="28"/>
          <w:lang w:val="en-US"/>
        </w:rPr>
        <w:t>1.</w:t>
      </w:r>
      <w:r w:rsidR="00F2448E" w:rsidRPr="00D80EF3">
        <w:rPr>
          <w:sz w:val="28"/>
          <w:szCs w:val="28"/>
          <w:lang w:val="en-US"/>
        </w:rPr>
        <w:t>2</w:t>
      </w:r>
      <w:r w:rsidR="00961447" w:rsidRPr="00D80EF3">
        <w:rPr>
          <w:sz w:val="28"/>
          <w:szCs w:val="28"/>
          <w:lang w:val="en-US"/>
        </w:rPr>
        <w:t xml:space="preserve"> </w:t>
      </w:r>
      <w:r w:rsidR="007C1C81" w:rsidRPr="00D80EF3">
        <w:rPr>
          <w:sz w:val="28"/>
          <w:szCs w:val="28"/>
          <w:lang w:val="en-US"/>
        </w:rPr>
        <w:t>Correlations with systemic conditions</w:t>
      </w:r>
      <w:bookmarkEnd w:id="17"/>
    </w:p>
    <w:p w14:paraId="07208E3A" w14:textId="2672D70B" w:rsidR="00E363D9" w:rsidRPr="001F0504" w:rsidRDefault="001F0504" w:rsidP="004D10FB">
      <w:pPr>
        <w:spacing w:line="360" w:lineRule="auto"/>
        <w:jc w:val="both"/>
        <w:rPr>
          <w:color w:val="000000" w:themeColor="text1"/>
          <w:lang w:val="en-US"/>
        </w:rPr>
      </w:pPr>
      <w:r w:rsidRPr="001F0504">
        <w:rPr>
          <w:color w:val="000000" w:themeColor="text1"/>
          <w:lang w:val="en-US"/>
        </w:rPr>
        <w:t xml:space="preserve">In recent years, increasing scientific attention has been directed toward the systemic effects of periodontitis. Evidence indicates that periodontal disease is not confined to the oral cavity but may induce alterations at the whole-body level. </w:t>
      </w:r>
      <w:proofErr w:type="gramStart"/>
      <w:r w:rsidRPr="001F0504">
        <w:rPr>
          <w:color w:val="000000" w:themeColor="text1"/>
          <w:lang w:val="en-US"/>
        </w:rPr>
        <w:t>In particular, periodontal</w:t>
      </w:r>
      <w:proofErr w:type="gramEnd"/>
      <w:r w:rsidRPr="001F0504">
        <w:rPr>
          <w:color w:val="000000" w:themeColor="text1"/>
          <w:lang w:val="en-US"/>
        </w:rPr>
        <w:t xml:space="preserve"> pathogens are able to infiltrate gingival tissues and subsequently gain access to the systemic circulation, providing a biological basis for the association between periodontitis and systemic conditions</w:t>
      </w:r>
      <w:r w:rsidR="00E363D9" w:rsidRPr="001F0504">
        <w:rPr>
          <w:rStyle w:val="Rimandonotadichiusura"/>
          <w:color w:val="000000" w:themeColor="text1"/>
        </w:rPr>
        <w:endnoteReference w:id="143"/>
      </w:r>
      <w:r w:rsidR="002638F5">
        <w:rPr>
          <w:color w:val="000000" w:themeColor="text1"/>
          <w:lang w:val="en-US"/>
        </w:rPr>
        <w:t>.</w:t>
      </w:r>
    </w:p>
    <w:p w14:paraId="3EF6C002" w14:textId="5D5B4A2A" w:rsidR="001F0504" w:rsidRPr="001F0504" w:rsidRDefault="001F0504" w:rsidP="001F0504">
      <w:pPr>
        <w:spacing w:line="360" w:lineRule="auto"/>
        <w:jc w:val="both"/>
        <w:rPr>
          <w:color w:val="000000" w:themeColor="text1"/>
          <w:lang w:val="en-US"/>
        </w:rPr>
      </w:pPr>
      <w:r w:rsidRPr="001F0504">
        <w:rPr>
          <w:color w:val="000000" w:themeColor="text1"/>
          <w:lang w:val="en-US"/>
        </w:rPr>
        <w:t>The concept that oral infections, such as periodontitis, may influence a patient’s general health is not a recent one. Between the late nineteenth and early twentieth centuries, physicians and dentists increasingly supported the idea that infections—particularly those originating in the oral cavity—could act as causal factors for a wide range of systemic diseases. This perspective led to the development of the so-called “focal infection theory”</w:t>
      </w:r>
      <w:r w:rsidR="002638F5">
        <w:rPr>
          <w:color w:val="000000" w:themeColor="text1"/>
          <w:lang w:val="en-US"/>
        </w:rPr>
        <w:t>,</w:t>
      </w:r>
      <w:r w:rsidRPr="001F0504">
        <w:rPr>
          <w:color w:val="000000" w:themeColor="text1"/>
          <w:lang w:val="en-US"/>
        </w:rPr>
        <w:t xml:space="preserve"> which was largely driven by early microbiological investigations conducted by Miller.</w:t>
      </w:r>
    </w:p>
    <w:p w14:paraId="3020280F" w14:textId="347B3198" w:rsidR="00E363D9" w:rsidRPr="001F0504" w:rsidRDefault="001F0504" w:rsidP="00E363D9">
      <w:pPr>
        <w:spacing w:line="360" w:lineRule="auto"/>
        <w:jc w:val="both"/>
        <w:rPr>
          <w:color w:val="000000" w:themeColor="text1"/>
          <w:lang w:val="en-US"/>
        </w:rPr>
      </w:pPr>
      <w:r w:rsidRPr="001F0504">
        <w:rPr>
          <w:color w:val="000000" w:themeColor="text1"/>
          <w:lang w:val="en-US"/>
        </w:rPr>
        <w:t xml:space="preserve">In 1891, Miller published a seminal work entitled </w:t>
      </w:r>
      <w:r w:rsidRPr="001F0504">
        <w:rPr>
          <w:i/>
          <w:iCs/>
          <w:color w:val="000000" w:themeColor="text1"/>
          <w:lang w:val="en-US"/>
        </w:rPr>
        <w:t>“The Mouth as a Focus of Infection”</w:t>
      </w:r>
      <w:r w:rsidR="002638F5">
        <w:rPr>
          <w:i/>
          <w:iCs/>
          <w:color w:val="000000" w:themeColor="text1"/>
          <w:lang w:val="en-US"/>
        </w:rPr>
        <w:t>,</w:t>
      </w:r>
      <w:r w:rsidRPr="001F0504">
        <w:rPr>
          <w:color w:val="000000" w:themeColor="text1"/>
          <w:lang w:val="en-US"/>
        </w:rPr>
        <w:t xml:space="preserve"> in which he proposed the existence of an infectious nidus arising from oral diseases, including periodontitis</w:t>
      </w:r>
      <w:r>
        <w:rPr>
          <w:rStyle w:val="Rimandonotadichiusura"/>
          <w:color w:val="000000" w:themeColor="text1"/>
          <w:lang w:val="en-US"/>
        </w:rPr>
        <w:endnoteReference w:id="144"/>
      </w:r>
      <w:r w:rsidR="002638F5">
        <w:rPr>
          <w:color w:val="000000" w:themeColor="text1"/>
          <w:lang w:val="en-US"/>
        </w:rPr>
        <w:t>.</w:t>
      </w:r>
      <w:r w:rsidRPr="001F0504">
        <w:rPr>
          <w:color w:val="000000" w:themeColor="text1"/>
          <w:lang w:val="en-US"/>
        </w:rPr>
        <w:t xml:space="preserve"> According to this theory, microorganisms originating in periodontal tissues could disseminate via the bloodstream and affect distant organs. </w:t>
      </w:r>
      <w:proofErr w:type="gramStart"/>
      <w:r w:rsidRPr="001F0504">
        <w:rPr>
          <w:color w:val="000000" w:themeColor="text1"/>
          <w:lang w:val="en-US"/>
        </w:rPr>
        <w:t>As a consequence</w:t>
      </w:r>
      <w:proofErr w:type="gramEnd"/>
      <w:r w:rsidRPr="001F0504">
        <w:rPr>
          <w:color w:val="000000" w:themeColor="text1"/>
          <w:lang w:val="en-US"/>
        </w:rPr>
        <w:t xml:space="preserve">, a widespread clinical practice emerged that involved the extraction of teeth—even those that appeared clinically healthy—as a form of preventive or therapeutic </w:t>
      </w:r>
      <w:r w:rsidRPr="001F0504">
        <w:rPr>
          <w:color w:val="000000" w:themeColor="text1"/>
          <w:lang w:val="en-US"/>
        </w:rPr>
        <w:lastRenderedPageBreak/>
        <w:t>“oral sanitation” aimed at preventing or treating systemic conditions such as joint, cardiac, hepatic, renal, and pancreatic diseases</w:t>
      </w:r>
      <w:r w:rsidR="00E363D9" w:rsidRPr="001F0504">
        <w:rPr>
          <w:rStyle w:val="Rimandonotadichiusura"/>
          <w:color w:val="000000" w:themeColor="text1"/>
        </w:rPr>
        <w:endnoteReference w:id="145"/>
      </w:r>
      <w:r w:rsidR="002638F5">
        <w:rPr>
          <w:color w:val="000000" w:themeColor="text1"/>
          <w:lang w:val="en-US"/>
        </w:rPr>
        <w:t>.</w:t>
      </w:r>
    </w:p>
    <w:p w14:paraId="52303292" w14:textId="6C4755F0" w:rsidR="001F0504" w:rsidRPr="001F0504" w:rsidRDefault="001F0504" w:rsidP="001F0504">
      <w:pPr>
        <w:spacing w:line="360" w:lineRule="auto"/>
        <w:jc w:val="both"/>
        <w:rPr>
          <w:color w:val="000000" w:themeColor="text1"/>
          <w:lang w:val="en-US"/>
        </w:rPr>
      </w:pPr>
      <w:r w:rsidRPr="001F0504">
        <w:rPr>
          <w:color w:val="000000" w:themeColor="text1"/>
          <w:lang w:val="en-US"/>
        </w:rPr>
        <w:t>However, it became evident that systemic diseases also developed in individuals who were orally healthy or even edentulous. Consequently, by the 1950s, the focal infection theory was largely abandoned.</w:t>
      </w:r>
    </w:p>
    <w:p w14:paraId="1E10E9FA" w14:textId="77777777" w:rsidR="001F0504" w:rsidRPr="001F0504" w:rsidRDefault="001F0504" w:rsidP="001F0504">
      <w:pPr>
        <w:spacing w:line="360" w:lineRule="auto"/>
        <w:jc w:val="both"/>
        <w:rPr>
          <w:color w:val="000000" w:themeColor="text1"/>
          <w:lang w:val="en-US"/>
        </w:rPr>
      </w:pPr>
      <w:r w:rsidRPr="001F0504">
        <w:rPr>
          <w:color w:val="000000" w:themeColor="text1"/>
          <w:lang w:val="en-US"/>
        </w:rPr>
        <w:t>Only toward the late twentieth century did scientific interest re-emerge in exploring potential associations between periodontal diseases and systemic conditions, leading to the development of a specific research field known as “</w:t>
      </w:r>
      <w:proofErr w:type="spellStart"/>
      <w:r w:rsidRPr="001F0504">
        <w:rPr>
          <w:color w:val="000000" w:themeColor="text1"/>
          <w:lang w:val="en-US"/>
        </w:rPr>
        <w:t>periomedicine</w:t>
      </w:r>
      <w:proofErr w:type="spellEnd"/>
      <w:r w:rsidRPr="001F0504">
        <w:rPr>
          <w:color w:val="000000" w:themeColor="text1"/>
          <w:lang w:val="en-US"/>
        </w:rPr>
        <w:t>.”</w:t>
      </w:r>
    </w:p>
    <w:p w14:paraId="09ECD49F" w14:textId="77777777" w:rsidR="001F0504" w:rsidRPr="001F0504" w:rsidRDefault="001F0504" w:rsidP="001F0504">
      <w:pPr>
        <w:spacing w:line="360" w:lineRule="auto"/>
        <w:jc w:val="both"/>
        <w:rPr>
          <w:color w:val="000000" w:themeColor="text1"/>
          <w:lang w:val="en-US"/>
        </w:rPr>
      </w:pPr>
      <w:r w:rsidRPr="001F0504">
        <w:rPr>
          <w:color w:val="000000" w:themeColor="text1"/>
          <w:lang w:val="en-US"/>
        </w:rPr>
        <w:t>At present, the prevailing scientific consensus recognizes periodontitis as a clinically relevant risk factor for several systemic diseases, including cardiovascular disorders, diabetes mellitus, and adverse pregnancy outcomes such as preterm birth.</w:t>
      </w:r>
    </w:p>
    <w:p w14:paraId="7E2BF6E4" w14:textId="7DF6D595" w:rsidR="00E363D9" w:rsidRPr="00F86E9F" w:rsidRDefault="001F0504" w:rsidP="00E363D9">
      <w:pPr>
        <w:spacing w:line="360" w:lineRule="auto"/>
        <w:jc w:val="both"/>
        <w:rPr>
          <w:color w:val="000000" w:themeColor="text1"/>
          <w:lang w:val="en-US"/>
        </w:rPr>
      </w:pPr>
      <w:r w:rsidRPr="001F0504">
        <w:rPr>
          <w:color w:val="000000" w:themeColor="text1"/>
          <w:lang w:val="en-US"/>
        </w:rPr>
        <w:t>This paradigm shift has moved away from the concept of disease confined to a single organ and toward a broader framework of systemic inflammation. For example, individuals with poorly controlled diabetes exhibit a markedly increased risk</w:t>
      </w:r>
      <w:r w:rsidR="009D6912">
        <w:rPr>
          <w:color w:val="000000" w:themeColor="text1"/>
          <w:lang w:val="en-US"/>
        </w:rPr>
        <w:t xml:space="preserve"> </w:t>
      </w:r>
      <w:r w:rsidRPr="001F0504">
        <w:rPr>
          <w:color w:val="000000" w:themeColor="text1"/>
          <w:lang w:val="en-US"/>
        </w:rPr>
        <w:t>up to threefold</w:t>
      </w:r>
      <w:r w:rsidR="009D6912">
        <w:rPr>
          <w:color w:val="000000" w:themeColor="text1"/>
          <w:lang w:val="en-US"/>
        </w:rPr>
        <w:t xml:space="preserve"> </w:t>
      </w:r>
      <w:r w:rsidRPr="001F0504">
        <w:rPr>
          <w:color w:val="000000" w:themeColor="text1"/>
          <w:lang w:val="en-US"/>
        </w:rPr>
        <w:t>of developing periodontitis compared with non-diabetic subjects</w:t>
      </w:r>
      <w:r w:rsidR="00E363D9" w:rsidRPr="00F86E9F">
        <w:rPr>
          <w:rStyle w:val="Rimandonotadichiusura"/>
          <w:color w:val="000000" w:themeColor="text1"/>
        </w:rPr>
        <w:endnoteReference w:id="146"/>
      </w:r>
      <w:r w:rsidRPr="00F86E9F">
        <w:rPr>
          <w:color w:val="000000" w:themeColor="text1"/>
          <w:lang w:val="en-US"/>
        </w:rPr>
        <w:t>.</w:t>
      </w:r>
    </w:p>
    <w:p w14:paraId="77AB7CD0" w14:textId="2D30418B" w:rsidR="00E363D9" w:rsidRPr="00F86E9F" w:rsidRDefault="00F86E9F" w:rsidP="00E363D9">
      <w:pPr>
        <w:spacing w:after="240" w:line="360" w:lineRule="auto"/>
        <w:jc w:val="both"/>
        <w:rPr>
          <w:color w:val="000000" w:themeColor="text1"/>
          <w:lang w:val="en-US"/>
        </w:rPr>
      </w:pPr>
      <w:r w:rsidRPr="00F86E9F">
        <w:rPr>
          <w:color w:val="000000" w:themeColor="text1"/>
          <w:lang w:val="en-US"/>
        </w:rPr>
        <w:t>The immune response to pathogenic agents is organized into two main branches: the specific (adaptive) immune response and the non-specific (innate) immune response. Both rely on the mobilization of distinct cellular lineages that not only proliferate but also secrete chemical mediators, such as lymphokines with local hormone-like activity, which in turn recruit additional immune cells. As a result, a localized inflammatory focus may lead to a distant systemic response involving multiple organs and systems.</w:t>
      </w:r>
      <w:r>
        <w:rPr>
          <w:color w:val="000000" w:themeColor="text1"/>
          <w:lang w:val="en-US"/>
        </w:rPr>
        <w:t xml:space="preserve"> </w:t>
      </w:r>
      <w:r w:rsidRPr="00F86E9F">
        <w:rPr>
          <w:color w:val="000000" w:themeColor="text1"/>
          <w:lang w:val="en-US"/>
        </w:rPr>
        <w:t>Two principal mechanisms explain how a localized inflammatory process should be considered a systemic condition. The first is a direct mechanism, whereby bacteria originating from a chronic oral infection may enter the bloodstream, leading to episodes of bacteremia following bacterial release into the circulatory system. A second, indirect mechanism involves the abundant production of pro-inflammatory factors, including cytokines and interleukins, which can disseminate to distant tissues and contribute to the development of a generalized inflammatory state within the organism.</w:t>
      </w:r>
      <w:r>
        <w:rPr>
          <w:color w:val="000000" w:themeColor="text1"/>
          <w:lang w:val="en-US"/>
        </w:rPr>
        <w:t xml:space="preserve"> </w:t>
      </w:r>
      <w:r w:rsidRPr="00F86E9F">
        <w:rPr>
          <w:color w:val="000000" w:themeColor="text1"/>
          <w:lang w:val="en-US"/>
        </w:rPr>
        <w:t xml:space="preserve">The secretion of inflammatory mediators by activated immune cells also mobilizes osteoclasts, which represent the primary cellular effectors of periodontal tissue destruction. These cells derive from the immune system, specifically from the monocyte lineage, and therefore retain membrane receptors for inflammatory mediators. This explains why bone cells are strongly </w:t>
      </w:r>
      <w:r w:rsidRPr="00F86E9F">
        <w:rPr>
          <w:color w:val="000000" w:themeColor="text1"/>
          <w:lang w:val="en-US"/>
        </w:rPr>
        <w:lastRenderedPageBreak/>
        <w:t>stimulated and recruited during immune system activation and account for a substantial proportion of periodontal tissue damage.</w:t>
      </w:r>
      <w:r>
        <w:rPr>
          <w:color w:val="000000" w:themeColor="text1"/>
          <w:lang w:val="en-US"/>
        </w:rPr>
        <w:t xml:space="preserve"> </w:t>
      </w:r>
      <w:r w:rsidRPr="00F86E9F">
        <w:rPr>
          <w:color w:val="000000" w:themeColor="text1"/>
          <w:lang w:val="en-US"/>
        </w:rPr>
        <w:t>During gingival inflammation, the activated cellular populations produce large quantities of inflammatory mediators that do not remain confined to the local inflammatory site but enter the systemic circulation, becoming part of a broader inflammatory network and ultimately affecting distant organs and systems. This observation has raised the question of how an apparently small anatomical structure, such as the oral cavity</w:t>
      </w:r>
      <w:r>
        <w:rPr>
          <w:color w:val="000000" w:themeColor="text1"/>
          <w:lang w:val="en-US"/>
        </w:rPr>
        <w:t xml:space="preserve"> </w:t>
      </w:r>
      <w:r w:rsidRPr="00F86E9F">
        <w:rPr>
          <w:color w:val="000000" w:themeColor="text1"/>
          <w:lang w:val="en-US"/>
        </w:rPr>
        <w:t>and more specifically inflamed gingival tissue</w:t>
      </w:r>
      <w:r>
        <w:rPr>
          <w:color w:val="000000" w:themeColor="text1"/>
          <w:lang w:val="en-US"/>
        </w:rPr>
        <w:t xml:space="preserve">, </w:t>
      </w:r>
      <w:r w:rsidRPr="00F86E9F">
        <w:rPr>
          <w:color w:val="000000" w:themeColor="text1"/>
          <w:lang w:val="en-US"/>
        </w:rPr>
        <w:t>can exert systemic effects.</w:t>
      </w:r>
      <w:r>
        <w:rPr>
          <w:color w:val="000000" w:themeColor="text1"/>
          <w:lang w:val="en-US"/>
        </w:rPr>
        <w:t xml:space="preserve"> </w:t>
      </w:r>
      <w:r w:rsidRPr="00F86E9F">
        <w:rPr>
          <w:color w:val="000000" w:themeColor="text1"/>
          <w:lang w:val="en-US"/>
        </w:rPr>
        <w:t>The answer lies in the actual extent of the affected tissue. Research conducted by Frank Abbas and colleagues quantified the inflamed periodontal surface area by conceptually unfolding all periodontal pockets of a patient with periodontitis, demonstrating that the total inflamed surface may reach approximately 40 cm². This represents a substantial surface area, capable of continuously releasing inflammatory mediators into the systemic circulation. Consequently, substances produced within inflamed gingival tissues may exert measurable effects on the rest of the organism.</w:t>
      </w:r>
      <w:r>
        <w:rPr>
          <w:color w:val="000000" w:themeColor="text1"/>
          <w:lang w:val="en-US"/>
        </w:rPr>
        <w:t xml:space="preserve"> </w:t>
      </w:r>
      <w:r w:rsidRPr="00F86E9F">
        <w:rPr>
          <w:color w:val="000000" w:themeColor="text1"/>
          <w:lang w:val="en-US"/>
        </w:rPr>
        <w:t xml:space="preserve">Furthermore, patients with periodontitis exhibit significant alterations in systemic inflammatory parameters compared with individuals with a healthy periodontium. Specifically, </w:t>
      </w:r>
      <w:r w:rsidR="009D6912">
        <w:rPr>
          <w:color w:val="000000" w:themeColor="text1"/>
          <w:lang w:val="en-US"/>
        </w:rPr>
        <w:t>i</w:t>
      </w:r>
      <w:r>
        <w:rPr>
          <w:color w:val="000000" w:themeColor="text1"/>
          <w:lang w:val="en-US"/>
        </w:rPr>
        <w:t xml:space="preserve">t </w:t>
      </w:r>
      <w:r w:rsidR="00AC111D" w:rsidRPr="00F86E9F">
        <w:rPr>
          <w:color w:val="000000" w:themeColor="text1"/>
          <w:lang w:val="en-US"/>
        </w:rPr>
        <w:t>has</w:t>
      </w:r>
      <w:r w:rsidRPr="00F86E9F">
        <w:rPr>
          <w:color w:val="000000" w:themeColor="text1"/>
          <w:lang w:val="en-US"/>
        </w:rPr>
        <w:t xml:space="preserve"> been reported increased circulating neutrophil counts and elevated levels of systemic inflammatory markers, such as C-reactive protein</w:t>
      </w:r>
      <w:r>
        <w:rPr>
          <w:color w:val="000000" w:themeColor="text1"/>
          <w:lang w:val="en-US"/>
        </w:rPr>
        <w:t xml:space="preserve">, </w:t>
      </w:r>
      <w:r w:rsidRPr="00F86E9F">
        <w:rPr>
          <w:color w:val="000000" w:themeColor="text1"/>
          <w:lang w:val="en-US"/>
        </w:rPr>
        <w:t>a hepatic acute-phase protein synthesized in response to inflammatory stimuli</w:t>
      </w:r>
      <w:r>
        <w:rPr>
          <w:color w:val="000000" w:themeColor="text1"/>
          <w:lang w:val="en-US"/>
        </w:rPr>
        <w:t xml:space="preserve">. </w:t>
      </w:r>
      <w:r w:rsidRPr="00F86E9F">
        <w:rPr>
          <w:color w:val="000000" w:themeColor="text1"/>
          <w:lang w:val="en-US"/>
        </w:rPr>
        <w:t>Therefore, the inflammatory status of these patients can be assessed using biochemical parameters such as the erythrocyte sedimentation rate (ESR) and C-reactive protein levels, which reflect the magnitude of the systemic inflammatory condition</w:t>
      </w:r>
      <w:r w:rsidR="00E363D9" w:rsidRPr="00F86E9F">
        <w:rPr>
          <w:rStyle w:val="Rimandonotadichiusura"/>
          <w:color w:val="000000" w:themeColor="text1"/>
        </w:rPr>
        <w:endnoteReference w:id="147"/>
      </w:r>
      <w:r w:rsidRPr="00F86E9F">
        <w:rPr>
          <w:color w:val="000000" w:themeColor="text1"/>
          <w:lang w:val="en-US"/>
        </w:rPr>
        <w:t>.</w:t>
      </w:r>
      <w:r w:rsidRPr="00F86E9F">
        <w:rPr>
          <w:lang w:val="en-US"/>
        </w:rPr>
        <w:t xml:space="preserve"> </w:t>
      </w:r>
      <w:r w:rsidRPr="00F86E9F">
        <w:rPr>
          <w:color w:val="000000" w:themeColor="text1"/>
          <w:lang w:val="en-US"/>
        </w:rPr>
        <w:t>Cytokines are produced not only by inflamed tissues but also by organs and tissues that appear non-inflamed, such as adipose tissue. In this way, a generalized condition is established in which inflammatory chemical mediators become highly concentrated within biological fluids and are therefore able to exert their effects at distant sites.</w:t>
      </w:r>
      <w:r>
        <w:rPr>
          <w:color w:val="000000" w:themeColor="text1"/>
          <w:lang w:val="en-US"/>
        </w:rPr>
        <w:t xml:space="preserve"> </w:t>
      </w:r>
      <w:r w:rsidRPr="00F86E9F">
        <w:rPr>
          <w:color w:val="000000" w:themeColor="text1"/>
          <w:lang w:val="en-US"/>
        </w:rPr>
        <w:t xml:space="preserve">Systemic inflammatory status is now widely recognized to be associated with a broad range of diseases that, until relatively recently, were not considered inflammatory in nature, including cancer, diabetes mellitus, cardiovascular diseases, and neurodegenerative disorders such as Alzheimer’s disease. Today, the distinction between degenerative and inflammatory diseases is no longer clearly defined, as </w:t>
      </w:r>
      <w:proofErr w:type="gramStart"/>
      <w:r w:rsidRPr="00F86E9F">
        <w:rPr>
          <w:color w:val="000000" w:themeColor="text1"/>
          <w:lang w:val="en-US"/>
        </w:rPr>
        <w:t>the vast majority of</w:t>
      </w:r>
      <w:proofErr w:type="gramEnd"/>
      <w:r w:rsidRPr="00F86E9F">
        <w:rPr>
          <w:color w:val="000000" w:themeColor="text1"/>
          <w:lang w:val="en-US"/>
        </w:rPr>
        <w:t xml:space="preserve"> degenerative conditions are now understood to have an inflammatory basis.</w:t>
      </w:r>
      <w:r>
        <w:rPr>
          <w:color w:val="000000" w:themeColor="text1"/>
          <w:lang w:val="en-US"/>
        </w:rPr>
        <w:t xml:space="preserve"> </w:t>
      </w:r>
      <w:r w:rsidRPr="00F86E9F">
        <w:rPr>
          <w:color w:val="000000" w:themeColor="text1"/>
          <w:lang w:val="en-US"/>
        </w:rPr>
        <w:t xml:space="preserve">The clinical and biological relevance of systemic inflammation is such that the </w:t>
      </w:r>
      <w:r w:rsidRPr="00F86E9F">
        <w:rPr>
          <w:i/>
          <w:iCs/>
          <w:color w:val="000000" w:themeColor="text1"/>
          <w:lang w:val="en-US"/>
        </w:rPr>
        <w:t>American Journal of Cardiology</w:t>
      </w:r>
      <w:r w:rsidRPr="00F86E9F">
        <w:rPr>
          <w:color w:val="000000" w:themeColor="text1"/>
          <w:lang w:val="en-US"/>
        </w:rPr>
        <w:t xml:space="preserve"> and the </w:t>
      </w:r>
      <w:r w:rsidRPr="00F86E9F">
        <w:rPr>
          <w:i/>
          <w:iCs/>
          <w:color w:val="000000" w:themeColor="text1"/>
          <w:lang w:val="en-US"/>
        </w:rPr>
        <w:t>Journal of Periodontology</w:t>
      </w:r>
      <w:r w:rsidRPr="00F86E9F">
        <w:rPr>
          <w:color w:val="000000" w:themeColor="text1"/>
          <w:lang w:val="en-US"/>
        </w:rPr>
        <w:t xml:space="preserve"> have issued a joint consensus to highlight and disseminate research addressing the close relationship between cardiovascular diseases, metabolic disorders such as diabetes, obstetric conditions including preterm birth, and reproductive disorders such as polycystic ovary syndrome (PCOS) and endometriosis, in relation to periodontal disease.</w:t>
      </w:r>
      <w:r w:rsidR="009D6912">
        <w:rPr>
          <w:color w:val="000000" w:themeColor="text1"/>
          <w:lang w:val="en-US"/>
        </w:rPr>
        <w:t xml:space="preserve"> </w:t>
      </w:r>
      <w:r w:rsidR="009D6912" w:rsidRPr="009D6912">
        <w:rPr>
          <w:i/>
          <w:iCs/>
          <w:color w:val="000000" w:themeColor="text1"/>
          <w:lang w:val="en-US"/>
        </w:rPr>
        <w:t>(Figure 5)</w:t>
      </w:r>
      <w:r w:rsidRPr="00F86E9F">
        <w:rPr>
          <w:color w:val="000000" w:themeColor="text1"/>
          <w:lang w:val="en-US"/>
        </w:rPr>
        <w:t xml:space="preserve"> The association between these systemic conditions and periodontitis has been extensively investigated </w:t>
      </w:r>
      <w:proofErr w:type="gramStart"/>
      <w:r w:rsidRPr="00F86E9F">
        <w:rPr>
          <w:color w:val="000000" w:themeColor="text1"/>
          <w:lang w:val="en-US"/>
        </w:rPr>
        <w:t>in order to</w:t>
      </w:r>
      <w:proofErr w:type="gramEnd"/>
      <w:r w:rsidRPr="00F86E9F">
        <w:rPr>
          <w:color w:val="000000" w:themeColor="text1"/>
          <w:lang w:val="en-US"/>
        </w:rPr>
        <w:t xml:space="preserve"> integrate current knowledge in this field, consistently identifying systemic inflammation as the underlying common pathogenic mechanism.</w:t>
      </w:r>
      <w:r>
        <w:rPr>
          <w:color w:val="000000" w:themeColor="text1"/>
          <w:lang w:val="en-US"/>
        </w:rPr>
        <w:t xml:space="preserve"> </w:t>
      </w:r>
      <w:r w:rsidRPr="00F86E9F">
        <w:rPr>
          <w:color w:val="000000" w:themeColor="text1"/>
          <w:lang w:val="en-US"/>
        </w:rPr>
        <w:t xml:space="preserve">However, periodontitis is not the sole condition capable of inducing a systemic inflammatory state that affects distant organs and systems. The relationship is bidirectional, as any generalized inflammatory condition may, in turn, negatively influence periodontal health. Many of these diseases, including periodontitis, frequently coexist within the context of the so-called </w:t>
      </w:r>
      <w:r w:rsidRPr="00F86E9F">
        <w:rPr>
          <w:i/>
          <w:iCs/>
          <w:color w:val="000000" w:themeColor="text1"/>
          <w:lang w:val="en-US"/>
        </w:rPr>
        <w:t>metabolic syndrome</w:t>
      </w:r>
      <w:r w:rsidRPr="00F86E9F">
        <w:rPr>
          <w:color w:val="000000" w:themeColor="text1"/>
          <w:lang w:val="en-US"/>
        </w:rPr>
        <w:t xml:space="preserve">, a systemic condition characterized by chronic low-grade inflammation. Metabolic syndrome is diagnosed when at least three of the following five criteria are present: increased waist circumference (measured midway between the xiphoid process and the umbilicus), exceeding approximately 100 cm in men and 88 cm in women; triglyceride levels above 150 mg/dL; arterial blood pressure greater than 130/85 mmHg in both sexes; and fasting blood glucose levels exceeding 110 mg/dL. It is important to recognize that total cholesterol comprises different fractions, including high-density lipoproteins (HDL), which should be maintained above 40–50 mg/100 mL, and low-density lipoproteins </w:t>
      </w:r>
      <w:proofErr w:type="gramStart"/>
      <w:r w:rsidRPr="00F86E9F">
        <w:rPr>
          <w:color w:val="000000" w:themeColor="text1"/>
          <w:lang w:val="en-US"/>
        </w:rPr>
        <w:t>with regard to</w:t>
      </w:r>
      <w:proofErr w:type="gramEnd"/>
      <w:r w:rsidRPr="00F86E9F">
        <w:rPr>
          <w:color w:val="000000" w:themeColor="text1"/>
          <w:lang w:val="en-US"/>
        </w:rPr>
        <w:t xml:space="preserve"> cholesterol metabolism. The critical factor is not merely total cholesterol concentration but the preservation of adequate HDL levels. High-density lipoproteins facilitate the removal of free cholesterol from circulation, thereby preventing its infiltration into the vascular wall following endothelial injury and reducing the formation of atherosclerotic plaques. When at least three of these metabolic parameters are altered, the diagnosis of metabolic syndrome is established. Importantly, several studies evaluating the systemic consequences of improving local inflammatory conditions have demonstrated a reduction in systemic inflammatory markers following periodontal therapy. These findings support the concept that periodontitis, together with other chronic inflammatory diseases affecting different body systems, contributes significantly to the overall systemic inflammatory burden</w:t>
      </w:r>
      <w:r w:rsidR="00E363D9">
        <w:rPr>
          <w:rStyle w:val="Rimandonotadichiusura"/>
        </w:rPr>
        <w:endnoteReference w:id="148"/>
      </w:r>
      <w:r w:rsidR="00E363D9" w:rsidRPr="00F86E9F">
        <w:rPr>
          <w:lang w:val="en-US"/>
        </w:rPr>
        <w:t xml:space="preserve"> </w:t>
      </w:r>
      <w:r w:rsidR="00E363D9">
        <w:rPr>
          <w:rStyle w:val="Rimandonotadichiusura"/>
        </w:rPr>
        <w:endnoteReference w:id="149"/>
      </w:r>
      <w:r w:rsidRPr="00F86E9F">
        <w:rPr>
          <w:lang w:val="en-US"/>
        </w:rPr>
        <w:t>.</w:t>
      </w:r>
    </w:p>
    <w:p w14:paraId="08E03EA9" w14:textId="394D99D4" w:rsidR="00E363D9" w:rsidRDefault="00092334" w:rsidP="00E363D9">
      <w:pPr>
        <w:autoSpaceDE w:val="0"/>
        <w:autoSpaceDN w:val="0"/>
        <w:adjustRightInd w:val="0"/>
        <w:spacing w:line="360" w:lineRule="auto"/>
        <w:jc w:val="both"/>
        <w:rPr>
          <w:rFonts w:eastAsiaTheme="minorEastAsia"/>
          <w:color w:val="000000" w:themeColor="text1"/>
          <w:lang w:val="en-US"/>
        </w:rPr>
      </w:pPr>
      <w:r>
        <w:rPr>
          <w:noProof/>
          <w:color w:val="000000" w:themeColor="text1"/>
          <w:lang w:val="en-US"/>
        </w:rPr>
        <w:lastRenderedPageBreak/>
        <w:drawing>
          <wp:inline distT="0" distB="0" distL="0" distR="0" wp14:anchorId="711323BE" wp14:editId="5BDDBE33">
            <wp:extent cx="4828558" cy="3314697"/>
            <wp:effectExtent l="0" t="0" r="0" b="635"/>
            <wp:docPr id="1740917851" name="Immagine 11" descr="Immagine che contiene schermat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917851" name="Immagine 11" descr="Immagine che contiene schermata, diagramma&#10;&#10;Descrizione generata automaticamente"/>
                    <pic:cNvPicPr/>
                  </pic:nvPicPr>
                  <pic:blipFill>
                    <a:blip r:embed="rId15"/>
                    <a:stretch>
                      <a:fillRect/>
                    </a:stretch>
                  </pic:blipFill>
                  <pic:spPr>
                    <a:xfrm>
                      <a:off x="0" y="0"/>
                      <a:ext cx="4855168" cy="3332964"/>
                    </a:xfrm>
                    <a:prstGeom prst="rect">
                      <a:avLst/>
                    </a:prstGeom>
                  </pic:spPr>
                </pic:pic>
              </a:graphicData>
            </a:graphic>
          </wp:inline>
        </w:drawing>
      </w:r>
    </w:p>
    <w:p w14:paraId="4DFBCE40" w14:textId="77777777" w:rsidR="009D6912" w:rsidRDefault="009D6912" w:rsidP="00E363D9">
      <w:pPr>
        <w:autoSpaceDE w:val="0"/>
        <w:autoSpaceDN w:val="0"/>
        <w:adjustRightInd w:val="0"/>
        <w:spacing w:line="360" w:lineRule="auto"/>
        <w:jc w:val="both"/>
        <w:rPr>
          <w:rFonts w:eastAsiaTheme="minorEastAsia"/>
          <w:color w:val="000000" w:themeColor="text1"/>
          <w:lang w:val="en-US"/>
        </w:rPr>
      </w:pPr>
    </w:p>
    <w:p w14:paraId="779F0930" w14:textId="77777777" w:rsidR="002638F5" w:rsidRDefault="009D6912" w:rsidP="002638F5">
      <w:pPr>
        <w:autoSpaceDE w:val="0"/>
        <w:autoSpaceDN w:val="0"/>
        <w:adjustRightInd w:val="0"/>
        <w:jc w:val="both"/>
        <w:rPr>
          <w:rFonts w:eastAsiaTheme="minorEastAsia"/>
          <w:b/>
          <w:bCs/>
          <w:color w:val="000000" w:themeColor="text1"/>
          <w:sz w:val="18"/>
          <w:szCs w:val="18"/>
          <w:lang w:val="en-US"/>
        </w:rPr>
      </w:pPr>
      <w:r w:rsidRPr="009D6912">
        <w:rPr>
          <w:rFonts w:eastAsiaTheme="minorEastAsia"/>
          <w:b/>
          <w:bCs/>
          <w:color w:val="000000" w:themeColor="text1"/>
          <w:sz w:val="18"/>
          <w:szCs w:val="18"/>
          <w:lang w:val="en-US"/>
        </w:rPr>
        <w:t xml:space="preserve">Figure </w:t>
      </w:r>
      <w:r>
        <w:rPr>
          <w:rFonts w:eastAsiaTheme="minorEastAsia"/>
          <w:b/>
          <w:bCs/>
          <w:color w:val="000000" w:themeColor="text1"/>
          <w:sz w:val="18"/>
          <w:szCs w:val="18"/>
          <w:lang w:val="en-US"/>
        </w:rPr>
        <w:t>5</w:t>
      </w:r>
      <w:r w:rsidRPr="009D6912">
        <w:rPr>
          <w:rFonts w:eastAsiaTheme="minorEastAsia"/>
          <w:b/>
          <w:bCs/>
          <w:color w:val="000000" w:themeColor="text1"/>
          <w:sz w:val="18"/>
          <w:szCs w:val="18"/>
          <w:lang w:val="en-US"/>
        </w:rPr>
        <w:t>. Systemic effects associated with oral dysbiosis and periodontal inflammation.</w:t>
      </w:r>
    </w:p>
    <w:p w14:paraId="18249358" w14:textId="2B306B8D" w:rsidR="00092334" w:rsidRDefault="009D6912" w:rsidP="002638F5">
      <w:pPr>
        <w:autoSpaceDE w:val="0"/>
        <w:autoSpaceDN w:val="0"/>
        <w:adjustRightInd w:val="0"/>
        <w:jc w:val="both"/>
        <w:rPr>
          <w:rFonts w:eastAsiaTheme="minorEastAsia"/>
          <w:color w:val="000000" w:themeColor="text1"/>
          <w:sz w:val="18"/>
          <w:szCs w:val="18"/>
          <w:lang w:val="en-US"/>
        </w:rPr>
      </w:pPr>
      <w:r w:rsidRPr="009D6912">
        <w:rPr>
          <w:rFonts w:eastAsiaTheme="minorEastAsia"/>
          <w:color w:val="000000" w:themeColor="text1"/>
          <w:sz w:val="18"/>
          <w:szCs w:val="18"/>
          <w:lang w:val="en-US"/>
        </w:rPr>
        <w:t>Schematic representation illustrating the potential associations between periodontal disease–related oral dysbiosis and a wide range of systemic conditions, including cardiovascular disease, metabolic disorders, neurodegenerative diseases, inflammatory bowel diseases, cancer progression, and reproductive system alterations.</w:t>
      </w:r>
    </w:p>
    <w:p w14:paraId="32145873" w14:textId="77777777" w:rsidR="009D6912" w:rsidRDefault="009D6912" w:rsidP="009D6912">
      <w:pPr>
        <w:autoSpaceDE w:val="0"/>
        <w:autoSpaceDN w:val="0"/>
        <w:adjustRightInd w:val="0"/>
        <w:rPr>
          <w:rFonts w:eastAsiaTheme="minorEastAsia"/>
          <w:color w:val="000000" w:themeColor="text1"/>
          <w:sz w:val="18"/>
          <w:szCs w:val="18"/>
          <w:lang w:val="en-US"/>
        </w:rPr>
      </w:pPr>
    </w:p>
    <w:p w14:paraId="65867243" w14:textId="77777777" w:rsidR="00ED0C6E" w:rsidRPr="009D6912" w:rsidRDefault="00ED0C6E" w:rsidP="009D6912">
      <w:pPr>
        <w:autoSpaceDE w:val="0"/>
        <w:autoSpaceDN w:val="0"/>
        <w:adjustRightInd w:val="0"/>
        <w:rPr>
          <w:rFonts w:eastAsiaTheme="minorEastAsia"/>
          <w:color w:val="000000" w:themeColor="text1"/>
          <w:sz w:val="18"/>
          <w:szCs w:val="18"/>
          <w:lang w:val="en-US"/>
        </w:rPr>
      </w:pPr>
    </w:p>
    <w:p w14:paraId="1DD0A00E" w14:textId="17A429F8" w:rsidR="00E363D9" w:rsidRPr="007563ED" w:rsidRDefault="00E363D9" w:rsidP="004D10FB">
      <w:pPr>
        <w:pStyle w:val="Titolo2"/>
        <w:spacing w:line="360" w:lineRule="auto"/>
        <w:rPr>
          <w:sz w:val="28"/>
          <w:szCs w:val="28"/>
          <w:lang w:val="en-US"/>
        </w:rPr>
      </w:pPr>
      <w:bookmarkStart w:id="18" w:name="_Toc219243282"/>
      <w:r w:rsidRPr="007563ED">
        <w:rPr>
          <w:sz w:val="28"/>
          <w:szCs w:val="28"/>
          <w:lang w:val="en-US"/>
        </w:rPr>
        <w:t>1.</w:t>
      </w:r>
      <w:r w:rsidR="00F2448E" w:rsidRPr="007563ED">
        <w:rPr>
          <w:sz w:val="28"/>
          <w:szCs w:val="28"/>
          <w:lang w:val="en-US"/>
        </w:rPr>
        <w:t>2.1</w:t>
      </w:r>
      <w:r w:rsidRPr="007563ED">
        <w:rPr>
          <w:sz w:val="28"/>
          <w:szCs w:val="28"/>
          <w:lang w:val="en-US"/>
        </w:rPr>
        <w:t xml:space="preserve"> </w:t>
      </w:r>
      <w:r w:rsidR="00863326" w:rsidRPr="007563ED">
        <w:rPr>
          <w:sz w:val="28"/>
          <w:szCs w:val="28"/>
          <w:lang w:val="en-US"/>
        </w:rPr>
        <w:t>Female reproductive disorders</w:t>
      </w:r>
      <w:bookmarkEnd w:id="18"/>
    </w:p>
    <w:p w14:paraId="1E6BF3E3" w14:textId="336F01F9" w:rsidR="007563ED" w:rsidRPr="007563ED" w:rsidRDefault="007563ED" w:rsidP="004D10FB">
      <w:pPr>
        <w:spacing w:line="360" w:lineRule="auto"/>
        <w:jc w:val="both"/>
        <w:rPr>
          <w:lang w:val="en-US"/>
        </w:rPr>
      </w:pPr>
      <w:r w:rsidRPr="007563ED">
        <w:rPr>
          <w:lang w:val="en-US"/>
        </w:rPr>
        <w:t>Female reproductive disorders represent conditions that can have a significant impact on women’s overall well-being. Research suggests that hormonal fluctuations occurring during the menstrual cycle, pregnancy, and menopause may influence the oral environment and contribute to increased susceptibility to oral diseases, such as periodontitis.</w:t>
      </w:r>
      <w:r w:rsidR="007C1C81">
        <w:rPr>
          <w:lang w:val="en-US"/>
        </w:rPr>
        <w:t xml:space="preserve"> </w:t>
      </w:r>
      <w:r w:rsidRPr="007563ED">
        <w:rPr>
          <w:lang w:val="en-US"/>
        </w:rPr>
        <w:t>Conversely, periodontal disease may have important implications for female reproductive health. Evidence indicates a potential association between periodontal pathogens and adverse pregnancy outcomes, including preterm birth, low birth weight, and preeclampsia. The dissemination of oral bacteria and their by-products into the systemic circulation may trigger an inflammatory response and disrupt the delicate balance essential for a successful pregnancy.</w:t>
      </w:r>
    </w:p>
    <w:p w14:paraId="42B89ADB" w14:textId="0A23B8D7" w:rsidR="007563ED" w:rsidRPr="007563ED" w:rsidRDefault="007563ED" w:rsidP="007563ED">
      <w:pPr>
        <w:spacing w:line="360" w:lineRule="auto"/>
        <w:jc w:val="both"/>
        <w:rPr>
          <w:lang w:val="en-US"/>
        </w:rPr>
      </w:pPr>
      <w:r w:rsidRPr="007563ED">
        <w:rPr>
          <w:lang w:val="en-US"/>
        </w:rPr>
        <w:t xml:space="preserve">Female reproductive disorders encompass a range of conditions that can markedly affect women’s general health and quality of life. Accumulating evidence indicates that hormonal variations associated with the menstrual cycle, pregnancy, and the menopausal </w:t>
      </w:r>
      <w:r w:rsidRPr="007563ED">
        <w:rPr>
          <w:lang w:val="en-US"/>
        </w:rPr>
        <w:lastRenderedPageBreak/>
        <w:t>transition can modify the oral ecosystem, altering host responses and predisposing women to oral inflammatory conditions, particularly periodontal disease</w:t>
      </w:r>
      <w:r>
        <w:rPr>
          <w:rStyle w:val="Rimandonotadichiusura"/>
          <w:lang w:val="en-US"/>
        </w:rPr>
        <w:endnoteReference w:id="150"/>
      </w:r>
      <w:r>
        <w:rPr>
          <w:rStyle w:val="Rimandonotadichiusura"/>
          <w:lang w:val="en-US"/>
        </w:rPr>
        <w:endnoteReference w:id="151"/>
      </w:r>
      <w:r w:rsidR="002638F5">
        <w:rPr>
          <w:lang w:val="en-US"/>
        </w:rPr>
        <w:t>.</w:t>
      </w:r>
    </w:p>
    <w:p w14:paraId="4ADEC4CB" w14:textId="7E226FB0" w:rsidR="00DF4B1C" w:rsidRDefault="007563ED" w:rsidP="00386886">
      <w:pPr>
        <w:spacing w:line="360" w:lineRule="auto"/>
        <w:jc w:val="both"/>
        <w:rPr>
          <w:lang w:val="en-US"/>
        </w:rPr>
      </w:pPr>
      <w:r w:rsidRPr="007563ED">
        <w:rPr>
          <w:lang w:val="en-US"/>
        </w:rPr>
        <w:t>Conversely, periodontal pathology may also exert systemic effects that extend to female reproductive health. Several studies have reported an association between periodontal infections and unfavorable pregnancy outcomes, such as preterm delivery, low birth weight, and preeclampsia</w:t>
      </w:r>
      <w:r>
        <w:rPr>
          <w:rStyle w:val="Rimandonotadichiusura"/>
          <w:lang w:val="en-US"/>
        </w:rPr>
        <w:endnoteReference w:id="152"/>
      </w:r>
      <w:r>
        <w:rPr>
          <w:rStyle w:val="Rimandonotadichiusura"/>
          <w:lang w:val="en-US"/>
        </w:rPr>
        <w:endnoteReference w:id="153"/>
      </w:r>
      <w:r w:rsidR="002638F5">
        <w:rPr>
          <w:lang w:val="en-US"/>
        </w:rPr>
        <w:t>.</w:t>
      </w:r>
      <w:r w:rsidRPr="007563ED">
        <w:rPr>
          <w:lang w:val="en-US"/>
        </w:rPr>
        <w:t xml:space="preserve"> The translocation of periodontal bacteria and their inflammatory mediators into the systemic circulation may promote a chronic inflammatory state, potentially interfering with the finely regulated biological processes required for the maintenance of a healthy pregnancy</w:t>
      </w:r>
      <w:r>
        <w:rPr>
          <w:rStyle w:val="Rimandonotadichiusura"/>
          <w:lang w:val="en-US"/>
        </w:rPr>
        <w:endnoteReference w:id="154"/>
      </w:r>
      <w:r w:rsidR="002638F5">
        <w:rPr>
          <w:lang w:val="en-US"/>
        </w:rPr>
        <w:t>.</w:t>
      </w:r>
    </w:p>
    <w:p w14:paraId="0F1A5A86" w14:textId="79479793" w:rsidR="00E64CFB" w:rsidRPr="00F97FD6" w:rsidRDefault="00E64CFB" w:rsidP="00386886">
      <w:pPr>
        <w:spacing w:line="360" w:lineRule="auto"/>
        <w:jc w:val="both"/>
        <w:rPr>
          <w:i/>
          <w:iCs/>
          <w:lang w:val="en-US"/>
        </w:rPr>
      </w:pPr>
      <w:r>
        <w:rPr>
          <w:i/>
          <w:iCs/>
          <w:lang w:val="en-US"/>
        </w:rPr>
        <w:t>P</w:t>
      </w:r>
      <w:r w:rsidRPr="00E64CFB">
        <w:rPr>
          <w:i/>
          <w:iCs/>
          <w:lang w:val="en-US"/>
        </w:rPr>
        <w:t>olycystic ovary syndrome (PCOS)</w:t>
      </w:r>
    </w:p>
    <w:p w14:paraId="3CCFFCF0" w14:textId="24BDF8D8" w:rsidR="00DF4B1C" w:rsidRPr="00DF4B1C" w:rsidRDefault="00386886" w:rsidP="00386886">
      <w:pPr>
        <w:spacing w:line="360" w:lineRule="auto"/>
        <w:jc w:val="both"/>
        <w:rPr>
          <w:lang w:val="en-US"/>
        </w:rPr>
      </w:pPr>
      <w:r w:rsidRPr="00386886">
        <w:rPr>
          <w:lang w:val="en-US"/>
        </w:rPr>
        <w:t>Furthermore, polycystic ovary syndrome (PCOS), one of the most prevalent endocrine disorders among women of reproductive age, has been associated with an increased risk of developing periodontal disease.</w:t>
      </w:r>
      <w:r>
        <w:rPr>
          <w:lang w:val="en-US"/>
        </w:rPr>
        <w:t xml:space="preserve"> </w:t>
      </w:r>
      <w:r w:rsidR="00DF4B1C" w:rsidRPr="00DF4B1C">
        <w:rPr>
          <w:lang w:val="en-US"/>
        </w:rPr>
        <w:t xml:space="preserve">PCOS is a common metabolic and endocrine disorder affecting women of childbearing age. It is characterized by oligo/anovulation, </w:t>
      </w:r>
      <w:proofErr w:type="spellStart"/>
      <w:r w:rsidR="00DF4B1C" w:rsidRPr="00DF4B1C">
        <w:rPr>
          <w:lang w:val="en-US"/>
        </w:rPr>
        <w:t>hyperandro</w:t>
      </w:r>
      <w:proofErr w:type="spellEnd"/>
      <w:r w:rsidR="00DF4B1C" w:rsidRPr="00DF4B1C">
        <w:rPr>
          <w:lang w:val="en-US"/>
        </w:rPr>
        <w:t>- genism, and polycystic ovarian morphology</w:t>
      </w:r>
      <w:r w:rsidR="00DF4B1C">
        <w:rPr>
          <w:rStyle w:val="Rimandonotadichiusura"/>
          <w:lang w:val="en-US"/>
        </w:rPr>
        <w:endnoteReference w:id="155"/>
      </w:r>
      <w:r w:rsidR="00DF4B1C">
        <w:rPr>
          <w:lang w:val="en-US"/>
        </w:rPr>
        <w:t>.</w:t>
      </w:r>
    </w:p>
    <w:p w14:paraId="13B9EAC7" w14:textId="741BCE94" w:rsidR="00DF4B1C" w:rsidRPr="00DF4B1C" w:rsidRDefault="00DF4B1C" w:rsidP="00386886">
      <w:pPr>
        <w:spacing w:line="360" w:lineRule="auto"/>
        <w:jc w:val="both"/>
        <w:rPr>
          <w:lang w:val="en-US"/>
        </w:rPr>
      </w:pPr>
      <w:r w:rsidRPr="00DF4B1C">
        <w:rPr>
          <w:lang w:val="en-US"/>
        </w:rPr>
        <w:t>Depending on diagnostic criteria such as the Rotterdam criteria, which require at least two of these features, its global prevalence ranges between 5% and 20%</w:t>
      </w:r>
      <w:r>
        <w:rPr>
          <w:rStyle w:val="Rimandonotadichiusura"/>
          <w:lang w:val="en-US"/>
        </w:rPr>
        <w:endnoteReference w:id="156"/>
      </w:r>
      <w:r>
        <w:rPr>
          <w:rStyle w:val="Rimandonotadichiusura"/>
          <w:lang w:val="en-US"/>
        </w:rPr>
        <w:endnoteReference w:id="157"/>
      </w:r>
      <w:r w:rsidR="00C51B50">
        <w:rPr>
          <w:lang w:val="en-US"/>
        </w:rPr>
        <w:t xml:space="preserve">. </w:t>
      </w:r>
      <w:r w:rsidR="00386886" w:rsidRPr="00386886">
        <w:rPr>
          <w:lang w:val="en-US"/>
        </w:rPr>
        <w:t>Despite its high prevalence, approximately 70% of affected women remain undiagnosed. Polycystic ovary syndrome is frequently accompanied by metabolic and systemic comorbidities, including insulin resistance, type 2 diabetes mellitus, cardiovascular disorders, obesity, and reproductive dysfunction, with a global prevalence estimated between 8% and 13% among women. Emerging evidence characterizes PCOS as a multisystem condition, comparable to periodontal disease, as both disorders share underlying mechanisms involving chronic systemic inflammation and endocrine dysregulation.</w:t>
      </w:r>
    </w:p>
    <w:p w14:paraId="0D1A7D78" w14:textId="00A49FD6" w:rsidR="00386886" w:rsidRPr="00386886" w:rsidRDefault="00386886" w:rsidP="00386886">
      <w:pPr>
        <w:spacing w:line="360" w:lineRule="auto"/>
        <w:jc w:val="both"/>
        <w:rPr>
          <w:lang w:val="en-US"/>
        </w:rPr>
      </w:pPr>
      <w:r w:rsidRPr="00386886">
        <w:rPr>
          <w:lang w:val="en-US"/>
        </w:rPr>
        <w:t>Due to profound alterations in metabolic homeostasis and endocrine regulation, women affected by PCOS may exhibit a wide range of reproductive manifestations, including menstrual irregularities, endometrial abnormalities, and infertility, alongside systemic conditions such as insulin resistance, diabetes mellitus, cardiovascular disease, and obesity</w:t>
      </w:r>
      <w:r>
        <w:rPr>
          <w:rStyle w:val="Rimandonotadichiusura"/>
          <w:lang w:val="en-US"/>
        </w:rPr>
        <w:endnoteReference w:id="158"/>
      </w:r>
      <w:r w:rsidRPr="00386886">
        <w:rPr>
          <w:lang w:val="en-US"/>
        </w:rPr>
        <w:t>. In addition, the endocrine–metabolic dysfunction characteristic of PCOS promotes a state of chronic low-grade systemic inflammation, leading to increased circulating levels of pro-inflammatory cytokines.</w:t>
      </w:r>
    </w:p>
    <w:p w14:paraId="4C4C09FC" w14:textId="7D63E50E" w:rsidR="00386886" w:rsidRPr="00386886" w:rsidRDefault="00386886" w:rsidP="00386886">
      <w:pPr>
        <w:spacing w:line="360" w:lineRule="auto"/>
        <w:jc w:val="both"/>
        <w:rPr>
          <w:lang w:val="en-US"/>
        </w:rPr>
      </w:pPr>
      <w:r w:rsidRPr="00386886">
        <w:rPr>
          <w:lang w:val="en-US"/>
        </w:rPr>
        <w:lastRenderedPageBreak/>
        <w:t>These systemic changes are mirrored in salivary biomarkers and in the composition of the oral microbiome. Indeed, evidence indicates that oral microbial communities are altered in patients with PCOS in response to variations in estradiol levels, as well as in the presence of insulin resistance and obesity, highlighting how metabolic disorders can influence microbial metabolomics.</w:t>
      </w:r>
    </w:p>
    <w:p w14:paraId="1C27D487" w14:textId="1776B400" w:rsidR="00386886" w:rsidRPr="00386886" w:rsidRDefault="00386886" w:rsidP="00386886">
      <w:pPr>
        <w:spacing w:line="360" w:lineRule="auto"/>
        <w:jc w:val="both"/>
        <w:rPr>
          <w:lang w:val="en-US"/>
        </w:rPr>
      </w:pPr>
      <w:r w:rsidRPr="00386886">
        <w:rPr>
          <w:lang w:val="en-US"/>
        </w:rPr>
        <w:t>PCOS may contribute to periodontal inflammation through inflammatory mediators such as interleukins (including IL-6 and IL-17, the latter induced by IL-36), C-reactive protein (CRP), tumor necrosis factor (TNF), and matrix metalloproteinase-8 (MMP-8), which have been detected in both serum and saliva</w:t>
      </w:r>
      <w:r>
        <w:rPr>
          <w:rStyle w:val="Rimandonotadichiusura"/>
          <w:lang w:val="en-US"/>
        </w:rPr>
        <w:endnoteReference w:id="159"/>
      </w:r>
      <w:r>
        <w:rPr>
          <w:rStyle w:val="Rimandonotadichiusura"/>
          <w:lang w:val="en-US"/>
        </w:rPr>
        <w:endnoteReference w:id="160"/>
      </w:r>
      <w:r>
        <w:rPr>
          <w:rStyle w:val="Rimandonotadichiusura"/>
          <w:lang w:val="en-US"/>
        </w:rPr>
        <w:endnoteReference w:id="161"/>
      </w:r>
      <w:r w:rsidRPr="00386886">
        <w:rPr>
          <w:lang w:val="en-US"/>
        </w:rPr>
        <w:t xml:space="preserve"> Dysregulated MMP expression has also been associated with ovulatory dysfunction in PCOS, potentially impairing follicular development at different stages</w:t>
      </w:r>
      <w:r>
        <w:rPr>
          <w:rStyle w:val="Rimandonotadichiusura"/>
          <w:lang w:val="en-US"/>
        </w:rPr>
        <w:endnoteReference w:id="162"/>
      </w:r>
      <w:r>
        <w:rPr>
          <w:rStyle w:val="Rimandonotadichiusura"/>
          <w:lang w:val="en-US"/>
        </w:rPr>
        <w:endnoteReference w:id="163"/>
      </w:r>
      <w:r w:rsidRPr="00386886">
        <w:rPr>
          <w:lang w:val="en-US"/>
        </w:rPr>
        <w:t>. However, the precise role of sex hormones in modulating pro-inflammatory cytokine release remains incompletely understood. Although several reviews have addressed this topic, definitive evidence supporting a direct association between PCOS and periodontal disease is still lacking</w:t>
      </w:r>
      <w:r>
        <w:rPr>
          <w:rStyle w:val="Rimandonotadichiusura"/>
          <w:lang w:val="en-US"/>
        </w:rPr>
        <w:endnoteReference w:id="164"/>
      </w:r>
      <w:r w:rsidR="002638F5">
        <w:rPr>
          <w:lang w:val="en-US"/>
        </w:rPr>
        <w:t>.</w:t>
      </w:r>
      <w:r w:rsidRPr="00386886">
        <w:rPr>
          <w:lang w:val="en-US"/>
        </w:rPr>
        <w:t xml:space="preserve"> Moreover, preventive strategies targeting PCOS in this context remain underexplored, and PCOS has not yet been established in the literature as a reliable marker for early diagnosis.</w:t>
      </w:r>
    </w:p>
    <w:p w14:paraId="36C65412" w14:textId="2313C72F" w:rsidR="00EA5681" w:rsidRPr="002F7DB4" w:rsidRDefault="00386886" w:rsidP="00386886">
      <w:pPr>
        <w:spacing w:line="360" w:lineRule="auto"/>
        <w:jc w:val="both"/>
        <w:rPr>
          <w:lang w:val="en-US"/>
        </w:rPr>
      </w:pPr>
      <w:r w:rsidRPr="00386886">
        <w:rPr>
          <w:lang w:val="en-US"/>
        </w:rPr>
        <w:t>Clinically, these mechanisms translate into an increased susceptibility of patients with PCOS to periodontal diseases. Alterations in the host endocrine and metabolic environment may lead to qualitative and quantitative changes in the oral microbial biofilm</w:t>
      </w:r>
      <w:r w:rsidR="008D28EB">
        <w:rPr>
          <w:vertAlign w:val="superscript"/>
          <w:lang w:val="en-US"/>
        </w:rPr>
        <w:t>156</w:t>
      </w:r>
      <w:r>
        <w:rPr>
          <w:lang w:val="en-US"/>
        </w:rPr>
        <w:t xml:space="preserve">. </w:t>
      </w:r>
      <w:r w:rsidRPr="00386886">
        <w:rPr>
          <w:lang w:val="en-US"/>
        </w:rPr>
        <w:t>Furthermore, hyperandrogenism, reduced estradiol levels, and insulin resistance negatively affect bone metabolism, compromise tissue resilience, and increase the vulnerability of gingival epithelial cells to microbial infection</w:t>
      </w:r>
      <w:r w:rsidR="008D28EB">
        <w:rPr>
          <w:vertAlign w:val="superscript"/>
          <w:lang w:val="en-US"/>
        </w:rPr>
        <w:t>156</w:t>
      </w:r>
      <w:r>
        <w:rPr>
          <w:lang w:val="en-US"/>
        </w:rPr>
        <w:t xml:space="preserve">. </w:t>
      </w:r>
      <w:r w:rsidRPr="00386886">
        <w:rPr>
          <w:lang w:val="en-US"/>
        </w:rPr>
        <w:t>Elevated concentrations of pro-inflammatory cytokines further exacerbate periodontal inflammation, potentially accelerating disease progression and severity</w:t>
      </w:r>
      <w:r w:rsidR="008D28EB">
        <w:rPr>
          <w:vertAlign w:val="superscript"/>
          <w:lang w:val="en-US"/>
        </w:rPr>
        <w:t>156</w:t>
      </w:r>
      <w:r>
        <w:rPr>
          <w:lang w:val="en-US"/>
        </w:rPr>
        <w:t xml:space="preserve">. </w:t>
      </w:r>
    </w:p>
    <w:p w14:paraId="3904D439" w14:textId="627971A5" w:rsidR="00F203D7" w:rsidRPr="00C97E44" w:rsidRDefault="00490932" w:rsidP="00386886">
      <w:pPr>
        <w:spacing w:line="360" w:lineRule="auto"/>
        <w:jc w:val="both"/>
        <w:rPr>
          <w:i/>
          <w:iCs/>
          <w:color w:val="000000" w:themeColor="text1"/>
          <w:lang w:val="en-US"/>
        </w:rPr>
      </w:pPr>
      <w:r w:rsidRPr="00C97E44">
        <w:rPr>
          <w:i/>
          <w:iCs/>
          <w:color w:val="000000" w:themeColor="text1"/>
          <w:lang w:val="en-US"/>
        </w:rPr>
        <w:t>Endometriosis</w:t>
      </w:r>
    </w:p>
    <w:p w14:paraId="19A94E83" w14:textId="23593998" w:rsidR="00E64CFB" w:rsidRDefault="00263111" w:rsidP="00E64CFB">
      <w:pPr>
        <w:spacing w:line="360" w:lineRule="auto"/>
        <w:jc w:val="both"/>
        <w:rPr>
          <w:lang w:val="en-US"/>
        </w:rPr>
      </w:pPr>
      <w:r>
        <w:rPr>
          <w:lang w:val="en-US"/>
        </w:rPr>
        <w:t>A</w:t>
      </w:r>
      <w:r w:rsidR="00E64CFB" w:rsidRPr="00E64CFB">
        <w:rPr>
          <w:lang w:val="en-US"/>
        </w:rPr>
        <w:t xml:space="preserve"> biological </w:t>
      </w:r>
      <w:r>
        <w:rPr>
          <w:lang w:val="en-US"/>
        </w:rPr>
        <w:t>key</w:t>
      </w:r>
      <w:r>
        <w:rPr>
          <w:lang w:val="en-GB"/>
        </w:rPr>
        <w:t>-</w:t>
      </w:r>
      <w:r w:rsidR="00E64CFB" w:rsidRPr="00E64CFB">
        <w:rPr>
          <w:lang w:val="en-US"/>
        </w:rPr>
        <w:t xml:space="preserve">link between endometriosis and periodontal </w:t>
      </w:r>
      <w:r w:rsidR="00E64CFB" w:rsidRPr="00C97E44">
        <w:rPr>
          <w:color w:val="000000" w:themeColor="text1"/>
          <w:lang w:val="en-US"/>
        </w:rPr>
        <w:t>diseases</w:t>
      </w:r>
      <w:r w:rsidRPr="00C97E44">
        <w:rPr>
          <w:color w:val="000000" w:themeColor="text1"/>
          <w:lang w:val="en-US"/>
        </w:rPr>
        <w:t xml:space="preserve"> is inflammation</w:t>
      </w:r>
      <w:r w:rsidR="00E64CFB" w:rsidRPr="00E64CFB">
        <w:rPr>
          <w:lang w:val="en-US"/>
        </w:rPr>
        <w:t>. Endometrial lesions promote oxidative stress and sustained chronic inflammation, leading to increased levels of pro-inflammatory cytokines detectable in serum and saliva, which may influence oral biofilm composition and modulate the host immune response to periodontal pathogens</w:t>
      </w:r>
      <w:r w:rsidR="00E64CFB">
        <w:rPr>
          <w:lang w:val="en-US"/>
        </w:rPr>
        <w:t>.</w:t>
      </w:r>
    </w:p>
    <w:p w14:paraId="1AE6312B" w14:textId="4F17328C" w:rsidR="00EA5681" w:rsidRPr="003F4911" w:rsidRDefault="0067369E" w:rsidP="00E64CFB">
      <w:pPr>
        <w:spacing w:line="360" w:lineRule="auto"/>
        <w:jc w:val="both"/>
        <w:rPr>
          <w:lang w:val="en-US"/>
        </w:rPr>
      </w:pPr>
      <w:r w:rsidRPr="00C97E44">
        <w:rPr>
          <w:color w:val="000000" w:themeColor="text1"/>
          <w:lang w:val="en-US"/>
        </w:rPr>
        <w:t xml:space="preserve">In addition, since </w:t>
      </w:r>
      <w:r w:rsidR="00C97E44">
        <w:rPr>
          <w:color w:val="000000" w:themeColor="text1"/>
          <w:lang w:val="en-US"/>
        </w:rPr>
        <w:t>e</w:t>
      </w:r>
      <w:r w:rsidR="00E64CFB" w:rsidRPr="00C97E44">
        <w:rPr>
          <w:color w:val="000000" w:themeColor="text1"/>
          <w:lang w:val="en-US"/>
        </w:rPr>
        <w:t xml:space="preserve">ndometriosis is an estrogen-dependent disorder, </w:t>
      </w:r>
      <w:r w:rsidR="0049130A" w:rsidRPr="00C97E44">
        <w:rPr>
          <w:color w:val="000000" w:themeColor="text1"/>
          <w:lang w:val="en-US"/>
        </w:rPr>
        <w:t>also TMD might be correlated</w:t>
      </w:r>
      <w:r w:rsidR="00A13A10" w:rsidRPr="00C97E44">
        <w:rPr>
          <w:color w:val="000000" w:themeColor="text1"/>
          <w:lang w:val="es-ES"/>
        </w:rPr>
        <w:t xml:space="preserve">. </w:t>
      </w:r>
      <w:r w:rsidR="00A13A10" w:rsidRPr="00C97E44">
        <w:rPr>
          <w:color w:val="000000" w:themeColor="text1"/>
          <w:lang w:val="en-US"/>
        </w:rPr>
        <w:t>It</w:t>
      </w:r>
      <w:r w:rsidR="00E64CFB" w:rsidRPr="00C97E44">
        <w:rPr>
          <w:color w:val="000000" w:themeColor="text1"/>
          <w:lang w:val="en-US"/>
        </w:rPr>
        <w:t xml:space="preserve"> is noteworthy that </w:t>
      </w:r>
      <w:r w:rsidR="00E64CFB" w:rsidRPr="00E64CFB">
        <w:rPr>
          <w:lang w:val="en-US"/>
        </w:rPr>
        <w:t xml:space="preserve">the temporomandibular joint (TMJ) cartilage expresses </w:t>
      </w:r>
      <w:r w:rsidR="00E64CFB" w:rsidRPr="00E64CFB">
        <w:rPr>
          <w:lang w:val="en-US"/>
        </w:rPr>
        <w:lastRenderedPageBreak/>
        <w:t>estrogen receptors that are essential for maintaining normal tissue trophism. In this regard, Wójcik et al. (2023) reported a preliminary correlation between pelvic pain severity in patients with endometriosis and temporomandibular joint pain</w:t>
      </w:r>
      <w:r w:rsidR="00E64CFB">
        <w:rPr>
          <w:rStyle w:val="Rimandonotadichiusura"/>
          <w:lang w:val="en-US"/>
        </w:rPr>
        <w:endnoteReference w:id="165"/>
      </w:r>
      <w:r w:rsidR="00E64CFB" w:rsidRPr="00E64CFB">
        <w:rPr>
          <w:lang w:val="en-US"/>
        </w:rPr>
        <w:t xml:space="preserve">. TMJ pain in these patients should therefore be carefully evaluated. Gala et al. (2021) reported an </w:t>
      </w:r>
      <w:proofErr w:type="spellStart"/>
      <w:r w:rsidR="00E64CFB" w:rsidRPr="00E64CFB">
        <w:rPr>
          <w:lang w:val="en-US"/>
        </w:rPr>
        <w:t>extrapelvic</w:t>
      </w:r>
      <w:proofErr w:type="spellEnd"/>
      <w:r w:rsidR="00E64CFB" w:rsidRPr="00E64CFB">
        <w:rPr>
          <w:lang w:val="en-US"/>
        </w:rPr>
        <w:t xml:space="preserve"> </w:t>
      </w:r>
      <w:r w:rsidR="00E64CFB" w:rsidRPr="003F4911">
        <w:rPr>
          <w:lang w:val="en-US"/>
        </w:rPr>
        <w:t>endometriotic lesion involving the mandible, initially misdiagnosed as a facial fibroma</w:t>
      </w:r>
      <w:r w:rsidR="00E64CFB" w:rsidRPr="003F4911">
        <w:rPr>
          <w:rStyle w:val="Rimandonotadichiusura"/>
          <w:lang w:val="en-US"/>
        </w:rPr>
        <w:endnoteReference w:id="166"/>
      </w:r>
      <w:r w:rsidR="003F4911" w:rsidRPr="003F4911">
        <w:rPr>
          <w:lang w:val="en-US"/>
        </w:rPr>
        <w:t>.</w:t>
      </w:r>
    </w:p>
    <w:p w14:paraId="4DC84641" w14:textId="77777777" w:rsidR="00EA5681" w:rsidRPr="003F4911" w:rsidRDefault="00EA5681" w:rsidP="00EA5681">
      <w:pPr>
        <w:spacing w:line="360" w:lineRule="auto"/>
        <w:jc w:val="both"/>
        <w:rPr>
          <w:i/>
          <w:iCs/>
          <w:lang w:val="en-US"/>
        </w:rPr>
      </w:pPr>
      <w:r w:rsidRPr="003F4911">
        <w:rPr>
          <w:i/>
          <w:iCs/>
          <w:lang w:val="en-US"/>
        </w:rPr>
        <w:t>Effects of Fertility Treatments on Bone Mineral Density</w:t>
      </w:r>
    </w:p>
    <w:p w14:paraId="173C0A2D" w14:textId="72FA1701" w:rsidR="00EA5681" w:rsidRPr="00EA5681" w:rsidRDefault="00EA5681" w:rsidP="00EA5681">
      <w:pPr>
        <w:spacing w:line="360" w:lineRule="auto"/>
        <w:jc w:val="both"/>
        <w:rPr>
          <w:lang w:val="en-US"/>
        </w:rPr>
      </w:pPr>
      <w:r w:rsidRPr="003F4911">
        <w:rPr>
          <w:lang w:val="en-US"/>
        </w:rPr>
        <w:t xml:space="preserve">The use of hormonal </w:t>
      </w:r>
      <w:r w:rsidRPr="00EA5681">
        <w:rPr>
          <w:lang w:val="en-US"/>
        </w:rPr>
        <w:t>therapies in women has markedly increased over recent decades, both for the management of menopausal symptoms and as a cornerstone of infertility treatment protocols.</w:t>
      </w:r>
      <w:r w:rsidR="00E45A64">
        <w:rPr>
          <w:lang w:val="en-US"/>
        </w:rPr>
        <w:t xml:space="preserve"> </w:t>
      </w:r>
    </w:p>
    <w:p w14:paraId="755F1CA9" w14:textId="2C841B1C" w:rsidR="00EA5681" w:rsidRPr="00EA5681" w:rsidRDefault="00EA5681" w:rsidP="00EA5681">
      <w:pPr>
        <w:spacing w:line="360" w:lineRule="auto"/>
        <w:jc w:val="both"/>
        <w:rPr>
          <w:lang w:val="en-US"/>
        </w:rPr>
      </w:pPr>
      <w:r w:rsidRPr="00EA5681">
        <w:rPr>
          <w:lang w:val="en-US"/>
        </w:rPr>
        <w:t>Female reproductive potential declines progressively with advancing age, leading to impaired oocyte competence well before the onset of natural menopause</w:t>
      </w:r>
      <w:r w:rsidR="00E45A64">
        <w:rPr>
          <w:rStyle w:val="Rimandonotadichiusura"/>
          <w:lang w:val="en-US"/>
        </w:rPr>
        <w:endnoteReference w:id="167"/>
      </w:r>
      <w:r w:rsidRPr="00EA5681">
        <w:rPr>
          <w:lang w:val="en-US"/>
        </w:rPr>
        <w:t>.</w:t>
      </w:r>
    </w:p>
    <w:p w14:paraId="6CFFB3A3" w14:textId="2912DADB" w:rsidR="00EA5681" w:rsidRPr="00EA5681" w:rsidRDefault="00EA5681" w:rsidP="00EA5681">
      <w:pPr>
        <w:spacing w:line="360" w:lineRule="auto"/>
        <w:jc w:val="both"/>
        <w:rPr>
          <w:lang w:val="en-US"/>
        </w:rPr>
      </w:pPr>
      <w:r w:rsidRPr="00EA5681">
        <w:rPr>
          <w:lang w:val="en-US"/>
        </w:rPr>
        <w:t>Menopause is a life stage strongly associated with accelerated bone turnover and increased markers of bone resorption, resulting in a substantially elevated risk of osteoporosis</w:t>
      </w:r>
      <w:r w:rsidR="00E45A64">
        <w:rPr>
          <w:rStyle w:val="Rimandonotadichiusura"/>
          <w:lang w:val="en-US"/>
        </w:rPr>
        <w:endnoteReference w:id="168"/>
      </w:r>
      <w:r w:rsidRPr="00EA5681">
        <w:rPr>
          <w:lang w:val="en-US"/>
        </w:rPr>
        <w:t>.</w:t>
      </w:r>
      <w:r w:rsidR="00F8622A">
        <w:rPr>
          <w:lang w:val="en-US"/>
        </w:rPr>
        <w:t xml:space="preserve"> </w:t>
      </w:r>
      <w:r w:rsidRPr="00EA5681">
        <w:rPr>
          <w:lang w:val="en-US"/>
        </w:rPr>
        <w:t>These skeletal alterations are primarily driven by estrogen deficiency and by a compensatory rise in circulating follicle-stimulating hormone (FSH), which has been independently implicated in bone loss</w:t>
      </w:r>
      <w:r w:rsidR="00E45A64">
        <w:rPr>
          <w:rStyle w:val="Rimandonotadichiusura"/>
          <w:lang w:val="en-US"/>
        </w:rPr>
        <w:endnoteReference w:id="169"/>
      </w:r>
      <w:r w:rsidRPr="00EA5681">
        <w:rPr>
          <w:lang w:val="en-US"/>
        </w:rPr>
        <w:t>.</w:t>
      </w:r>
    </w:p>
    <w:p w14:paraId="6DF0A880" w14:textId="71F95A16" w:rsidR="00EA5681" w:rsidRPr="00EA5681" w:rsidRDefault="00EA5681" w:rsidP="00EA5681">
      <w:pPr>
        <w:spacing w:line="360" w:lineRule="auto"/>
        <w:jc w:val="both"/>
        <w:rPr>
          <w:lang w:val="en-US"/>
        </w:rPr>
      </w:pPr>
      <w:r w:rsidRPr="00EA5681">
        <w:rPr>
          <w:lang w:val="en-US"/>
        </w:rPr>
        <w:t>The decline in estradiol levels compromises estrogen receptor signaling in osteoblasts, thereby reducing bone formation and indirectly promoting osteoclast differentiation and activity</w:t>
      </w:r>
      <w:r w:rsidR="00E45A64">
        <w:rPr>
          <w:rStyle w:val="Rimandonotadichiusura"/>
          <w:lang w:val="en-US"/>
        </w:rPr>
        <w:endnoteReference w:id="170"/>
      </w:r>
      <w:r w:rsidRPr="00EA5681">
        <w:rPr>
          <w:lang w:val="en-US"/>
        </w:rPr>
        <w:t>.</w:t>
      </w:r>
      <w:r w:rsidR="00E64CFB">
        <w:rPr>
          <w:lang w:val="en-US"/>
        </w:rPr>
        <w:t xml:space="preserve"> </w:t>
      </w:r>
      <w:r w:rsidRPr="00EA5681">
        <w:rPr>
          <w:lang w:val="en-US"/>
        </w:rPr>
        <w:t xml:space="preserve">As estrogen-mediated inhibition of </w:t>
      </w:r>
      <w:proofErr w:type="spellStart"/>
      <w:r w:rsidRPr="00EA5681">
        <w:rPr>
          <w:lang w:val="en-US"/>
        </w:rPr>
        <w:t>osteoclastogenesis</w:t>
      </w:r>
      <w:proofErr w:type="spellEnd"/>
      <w:r w:rsidRPr="00EA5681">
        <w:rPr>
          <w:lang w:val="en-US"/>
        </w:rPr>
        <w:t xml:space="preserve"> diminishes, bone resorption becomes predominant, leading to deterioration of both cortical and trabecular bone architecture</w:t>
      </w:r>
      <w:r w:rsidR="00E45A64">
        <w:rPr>
          <w:rStyle w:val="Rimandonotadichiusura"/>
          <w:lang w:val="en-US"/>
        </w:rPr>
        <w:endnoteReference w:id="171"/>
      </w:r>
      <w:r w:rsidRPr="00EA5681">
        <w:rPr>
          <w:lang w:val="en-US"/>
        </w:rPr>
        <w:t>.</w:t>
      </w:r>
    </w:p>
    <w:p w14:paraId="23BD3045" w14:textId="011B8A77" w:rsidR="00EA5681" w:rsidRPr="00EA5681" w:rsidRDefault="00EA5681" w:rsidP="00EA5681">
      <w:pPr>
        <w:spacing w:line="360" w:lineRule="auto"/>
        <w:jc w:val="both"/>
        <w:rPr>
          <w:lang w:val="en-US"/>
        </w:rPr>
      </w:pPr>
      <w:r w:rsidRPr="00EA5681">
        <w:rPr>
          <w:lang w:val="en-US"/>
        </w:rPr>
        <w:t>In parallel, controlled ovarian stimulation represents an essential component of assisted reproductive technologies (ART), with gonadotropins playing a pivotal role in follicular recruitment and maturation</w:t>
      </w:r>
      <w:r w:rsidR="00E45A64">
        <w:rPr>
          <w:rStyle w:val="Rimandonotadichiusura"/>
          <w:lang w:val="en-US"/>
        </w:rPr>
        <w:endnoteReference w:id="172"/>
      </w:r>
      <w:r w:rsidRPr="00EA5681">
        <w:rPr>
          <w:lang w:val="en-US"/>
        </w:rPr>
        <w:t>.</w:t>
      </w:r>
      <w:r w:rsidR="00F8622A">
        <w:rPr>
          <w:lang w:val="en-US"/>
        </w:rPr>
        <w:t xml:space="preserve"> </w:t>
      </w:r>
      <w:r w:rsidRPr="00EA5681">
        <w:rPr>
          <w:lang w:val="en-US"/>
        </w:rPr>
        <w:t>FSH is the principal regulator of antral follicle growth, whereas luteinizing hormone (LH) enhances ovarian steroidogenesis and supports dominant follicle development.</w:t>
      </w:r>
      <w:r w:rsidR="00F8622A">
        <w:rPr>
          <w:lang w:val="en-US"/>
        </w:rPr>
        <w:t xml:space="preserve"> </w:t>
      </w:r>
      <w:r w:rsidRPr="00EA5681">
        <w:rPr>
          <w:lang w:val="en-US"/>
        </w:rPr>
        <w:t>According to the two-cell, two-gonadotropin model, LH stimulates androgen synthesis in theca cells, while FSH promotes granulosa cell proliferation and estradiol production.</w:t>
      </w:r>
      <w:r w:rsidR="00F8622A">
        <w:rPr>
          <w:lang w:val="en-US"/>
        </w:rPr>
        <w:t xml:space="preserve"> </w:t>
      </w:r>
      <w:r w:rsidRPr="00EA5681">
        <w:rPr>
          <w:lang w:val="en-US"/>
        </w:rPr>
        <w:t>The primary objective of gonadotropin stimulation is to achieve adequate estradiol concentrations, which are associated with improved oocyte yield, enhanced oocyte quality, and more physiological reproductive outcomes</w:t>
      </w:r>
      <w:r w:rsidR="00E45A64">
        <w:rPr>
          <w:rStyle w:val="Rimandonotadichiusura"/>
          <w:lang w:val="en-US"/>
        </w:rPr>
        <w:endnoteReference w:id="173"/>
      </w:r>
      <w:r w:rsidRPr="00EA5681">
        <w:rPr>
          <w:lang w:val="en-US"/>
        </w:rPr>
        <w:t>.</w:t>
      </w:r>
    </w:p>
    <w:p w14:paraId="2BF18ACE" w14:textId="77777777" w:rsidR="00EA5681" w:rsidRPr="00EA5681" w:rsidRDefault="00EA5681" w:rsidP="00EA5681">
      <w:pPr>
        <w:spacing w:line="360" w:lineRule="auto"/>
        <w:jc w:val="both"/>
        <w:rPr>
          <w:lang w:val="en-US"/>
        </w:rPr>
      </w:pPr>
      <w:r w:rsidRPr="00EA5681">
        <w:rPr>
          <w:lang w:val="en-US"/>
        </w:rPr>
        <w:lastRenderedPageBreak/>
        <w:t>Technological advances have led to the development of recombinant human gonadotropins, including recombinant FSH (r-</w:t>
      </w:r>
      <w:proofErr w:type="spellStart"/>
      <w:r w:rsidRPr="00EA5681">
        <w:rPr>
          <w:lang w:val="en-US"/>
        </w:rPr>
        <w:t>hFSH</w:t>
      </w:r>
      <w:proofErr w:type="spellEnd"/>
      <w:r w:rsidRPr="00EA5681">
        <w:rPr>
          <w:lang w:val="en-US"/>
        </w:rPr>
        <w:t>) and recombinant LH (r-</w:t>
      </w:r>
      <w:proofErr w:type="spellStart"/>
      <w:r w:rsidRPr="00EA5681">
        <w:rPr>
          <w:lang w:val="en-US"/>
        </w:rPr>
        <w:t>hLH</w:t>
      </w:r>
      <w:proofErr w:type="spellEnd"/>
      <w:r w:rsidRPr="00EA5681">
        <w:rPr>
          <w:lang w:val="en-US"/>
        </w:rPr>
        <w:t>), offering greater purity and dosing precision compared with urinary-derived preparations.</w:t>
      </w:r>
    </w:p>
    <w:p w14:paraId="6C66BC1A" w14:textId="77777777" w:rsidR="00EA5681" w:rsidRPr="00EA5681" w:rsidRDefault="00EA5681" w:rsidP="00EA5681">
      <w:pPr>
        <w:spacing w:line="360" w:lineRule="auto"/>
        <w:jc w:val="both"/>
        <w:rPr>
          <w:lang w:val="en-US"/>
        </w:rPr>
      </w:pPr>
      <w:r w:rsidRPr="00EA5681">
        <w:rPr>
          <w:lang w:val="en-US"/>
        </w:rPr>
        <w:t>Emerging evidence indicates that gonadotropin exposure may exert tissue-specific effects extending beyond the reproductive system, influencing skeletal metabolism as well.</w:t>
      </w:r>
    </w:p>
    <w:p w14:paraId="6CC6D156" w14:textId="56CFD4FC" w:rsidR="00EA5681" w:rsidRPr="00EA5681" w:rsidRDefault="00EA5681" w:rsidP="00EA5681">
      <w:pPr>
        <w:spacing w:line="360" w:lineRule="auto"/>
        <w:jc w:val="both"/>
        <w:rPr>
          <w:lang w:val="en-US"/>
        </w:rPr>
      </w:pPr>
      <w:r w:rsidRPr="00EA5681">
        <w:rPr>
          <w:lang w:val="en-US"/>
        </w:rPr>
        <w:t>While r-</w:t>
      </w:r>
      <w:proofErr w:type="spellStart"/>
      <w:r w:rsidRPr="00EA5681">
        <w:rPr>
          <w:lang w:val="en-US"/>
        </w:rPr>
        <w:t>hFSH</w:t>
      </w:r>
      <w:proofErr w:type="spellEnd"/>
      <w:r w:rsidRPr="00EA5681">
        <w:rPr>
          <w:lang w:val="en-US"/>
        </w:rPr>
        <w:t xml:space="preserve"> promotes follicular growth and accelerates endometrial maturation, r-</w:t>
      </w:r>
      <w:proofErr w:type="spellStart"/>
      <w:r w:rsidRPr="00EA5681">
        <w:rPr>
          <w:lang w:val="en-US"/>
        </w:rPr>
        <w:t>hLH</w:t>
      </w:r>
      <w:proofErr w:type="spellEnd"/>
      <w:r w:rsidRPr="00EA5681">
        <w:rPr>
          <w:lang w:val="en-US"/>
        </w:rPr>
        <w:t xml:space="preserve"> appears to optimize follicular microenvironmental conditions and improve metabolic sensitivity</w:t>
      </w:r>
      <w:r w:rsidR="00E45A64">
        <w:rPr>
          <w:rStyle w:val="Rimandonotadichiusura"/>
          <w:lang w:val="en-US"/>
        </w:rPr>
        <w:endnoteReference w:id="174"/>
      </w:r>
      <w:r w:rsidRPr="00EA5681">
        <w:rPr>
          <w:lang w:val="en-US"/>
        </w:rPr>
        <w:t>.</w:t>
      </w:r>
      <w:r w:rsidR="00F8622A">
        <w:rPr>
          <w:lang w:val="en-US"/>
        </w:rPr>
        <w:t xml:space="preserve"> </w:t>
      </w:r>
      <w:r w:rsidRPr="00EA5681">
        <w:rPr>
          <w:lang w:val="en-US"/>
        </w:rPr>
        <w:t>Conversely, experimental studies suggest that elevated FSH levels may enhance alveolar bone resorption through activation of cyclooxygenase-2 signaling pathways</w:t>
      </w:r>
      <w:r w:rsidR="00F8622A">
        <w:rPr>
          <w:rStyle w:val="Rimandonotadichiusura"/>
          <w:lang w:val="en-US"/>
        </w:rPr>
        <w:endnoteReference w:id="175"/>
      </w:r>
      <w:r w:rsidRPr="00EA5681">
        <w:rPr>
          <w:lang w:val="en-US"/>
        </w:rPr>
        <w:t>.</w:t>
      </w:r>
      <w:r w:rsidR="00E64CFB">
        <w:rPr>
          <w:lang w:val="en-US"/>
        </w:rPr>
        <w:t xml:space="preserve"> </w:t>
      </w:r>
      <w:r w:rsidRPr="00EA5681">
        <w:rPr>
          <w:lang w:val="en-US"/>
        </w:rPr>
        <w:t>FSH has also been shown to upregulate osteoclast-associated genes, including RANK, MMP-9, and TRAP, thereby stimulating osteoclast differentiation and bone resorptive activity.</w:t>
      </w:r>
      <w:r w:rsidR="00F8622A">
        <w:rPr>
          <w:lang w:val="en-US"/>
        </w:rPr>
        <w:t xml:space="preserve"> </w:t>
      </w:r>
      <w:r w:rsidRPr="00EA5681">
        <w:rPr>
          <w:lang w:val="en-US"/>
        </w:rPr>
        <w:t>These findings raise concerns regarding the potential long-term effects of ART-related hormonal stimulation on skeletal health, including the integrity of alveolar bone.</w:t>
      </w:r>
      <w:r w:rsidR="00E64CFB">
        <w:rPr>
          <w:lang w:val="en-US"/>
        </w:rPr>
        <w:t xml:space="preserve"> </w:t>
      </w:r>
      <w:r w:rsidRPr="00EA5681">
        <w:rPr>
          <w:lang w:val="en-US"/>
        </w:rPr>
        <w:t>Comprehensive evaluation of bone metabolism markers in women undergoing assisted reproduction may therefore provide valuable insights into the systemic and oral health consequences of fertility treatments</w:t>
      </w:r>
      <w:r w:rsidR="00F8622A">
        <w:rPr>
          <w:lang w:val="en-US"/>
        </w:rPr>
        <w:t>.</w:t>
      </w:r>
    </w:p>
    <w:p w14:paraId="6798F793" w14:textId="172CBFA4" w:rsidR="00E363D9" w:rsidRDefault="00EA5681" w:rsidP="00EA5681">
      <w:pPr>
        <w:spacing w:line="360" w:lineRule="auto"/>
        <w:jc w:val="both"/>
        <w:rPr>
          <w:lang w:val="en-US"/>
        </w:rPr>
      </w:pPr>
      <w:r w:rsidRPr="00EA5681">
        <w:rPr>
          <w:lang w:val="en-US"/>
        </w:rPr>
        <w:t>The relationship between periodontal disease and female reproductive conditions represents a highly intricate clinical interplay. Gaining insight into the reciprocal influence between oral and reproductive health is crucial for clinicians, as it supports the adoption of holistic care models that integrate dental and gynecological perspectives. Advancing knowledge in this field requires further investigation to clarify the biological pathways linking these disorders and to inform the development of focused preventive and therapeutic interventions capable of improving overall health outcomes in women.</w:t>
      </w:r>
    </w:p>
    <w:p w14:paraId="03C4C24C" w14:textId="77777777" w:rsidR="003F4911" w:rsidRPr="00EA5681" w:rsidRDefault="003F4911" w:rsidP="00EA5681">
      <w:pPr>
        <w:spacing w:line="360" w:lineRule="auto"/>
        <w:jc w:val="both"/>
        <w:rPr>
          <w:lang w:val="en-US"/>
        </w:rPr>
      </w:pPr>
    </w:p>
    <w:p w14:paraId="20D225A6" w14:textId="12E6D7AE" w:rsidR="00E200CC" w:rsidRPr="000D4C09" w:rsidRDefault="00C44CC1" w:rsidP="00290211">
      <w:pPr>
        <w:pStyle w:val="Titolo2"/>
        <w:rPr>
          <w:rFonts w:eastAsiaTheme="minorEastAsia"/>
          <w:bCs/>
          <w:sz w:val="28"/>
          <w:szCs w:val="24"/>
          <w:lang w:val="en-US"/>
        </w:rPr>
      </w:pPr>
      <w:bookmarkStart w:id="19" w:name="_Toc219243283"/>
      <w:r w:rsidRPr="000D4C09">
        <w:rPr>
          <w:rFonts w:eastAsiaTheme="minorEastAsia"/>
          <w:bCs/>
          <w:sz w:val="28"/>
          <w:szCs w:val="24"/>
          <w:lang w:val="en-US"/>
        </w:rPr>
        <w:t>1.</w:t>
      </w:r>
      <w:r w:rsidR="0025326C" w:rsidRPr="000D4C09">
        <w:rPr>
          <w:rFonts w:eastAsiaTheme="minorEastAsia"/>
          <w:bCs/>
          <w:sz w:val="28"/>
          <w:szCs w:val="24"/>
          <w:lang w:val="en-US"/>
        </w:rPr>
        <w:t>2.</w:t>
      </w:r>
      <w:r w:rsidR="000D4C09">
        <w:rPr>
          <w:rFonts w:eastAsiaTheme="minorEastAsia"/>
          <w:bCs/>
          <w:sz w:val="28"/>
          <w:szCs w:val="24"/>
          <w:lang w:val="en-US"/>
        </w:rPr>
        <w:t>2</w:t>
      </w:r>
      <w:r w:rsidRPr="000D4C09">
        <w:rPr>
          <w:rFonts w:eastAsiaTheme="minorEastAsia"/>
          <w:bCs/>
          <w:sz w:val="28"/>
          <w:szCs w:val="24"/>
          <w:lang w:val="en-US"/>
        </w:rPr>
        <w:t xml:space="preserve"> ENDOMETRIOSI</w:t>
      </w:r>
      <w:r w:rsidR="00290211" w:rsidRPr="000D4C09">
        <w:rPr>
          <w:rFonts w:eastAsiaTheme="minorEastAsia"/>
          <w:bCs/>
          <w:sz w:val="28"/>
          <w:szCs w:val="24"/>
          <w:lang w:val="en-US"/>
        </w:rPr>
        <w:t>S</w:t>
      </w:r>
      <w:bookmarkEnd w:id="19"/>
    </w:p>
    <w:p w14:paraId="5DF33DBE" w14:textId="77777777" w:rsidR="00290211" w:rsidRPr="00842B17" w:rsidRDefault="00290211" w:rsidP="00290211">
      <w:pPr>
        <w:rPr>
          <w:rFonts w:eastAsiaTheme="minorEastAsia"/>
          <w:lang w:val="en-US"/>
        </w:rPr>
      </w:pPr>
    </w:p>
    <w:p w14:paraId="56813C98" w14:textId="564BF2B1" w:rsidR="00EF3012" w:rsidRPr="000D4C09" w:rsidRDefault="00E200CC" w:rsidP="00101D71">
      <w:pPr>
        <w:pStyle w:val="Titolo2"/>
        <w:spacing w:line="360" w:lineRule="auto"/>
        <w:rPr>
          <w:rFonts w:eastAsiaTheme="minorEastAsia"/>
          <w:i/>
          <w:iCs/>
          <w:sz w:val="28"/>
          <w:szCs w:val="28"/>
          <w:lang w:val="en-US"/>
        </w:rPr>
      </w:pPr>
      <w:bookmarkStart w:id="20" w:name="_Toc219243284"/>
      <w:r w:rsidRPr="000D4C09">
        <w:rPr>
          <w:rFonts w:eastAsiaTheme="minorEastAsia"/>
          <w:i/>
          <w:iCs/>
          <w:sz w:val="28"/>
          <w:szCs w:val="28"/>
          <w:lang w:val="en-US"/>
        </w:rPr>
        <w:t>1.</w:t>
      </w:r>
      <w:r w:rsidR="0025326C" w:rsidRPr="000D4C09">
        <w:rPr>
          <w:rFonts w:eastAsiaTheme="minorEastAsia"/>
          <w:i/>
          <w:iCs/>
          <w:sz w:val="28"/>
          <w:szCs w:val="28"/>
          <w:lang w:val="en-US"/>
        </w:rPr>
        <w:t>2.</w:t>
      </w:r>
      <w:r w:rsidR="000D4C09" w:rsidRPr="000D4C09">
        <w:rPr>
          <w:rFonts w:eastAsiaTheme="minorEastAsia"/>
          <w:i/>
          <w:iCs/>
          <w:sz w:val="28"/>
          <w:szCs w:val="28"/>
          <w:lang w:val="en-US"/>
        </w:rPr>
        <w:t>2</w:t>
      </w:r>
      <w:r w:rsidR="0025326C" w:rsidRPr="000D4C09">
        <w:rPr>
          <w:rFonts w:eastAsiaTheme="minorEastAsia"/>
          <w:i/>
          <w:iCs/>
          <w:sz w:val="28"/>
          <w:szCs w:val="28"/>
          <w:lang w:val="en-US"/>
        </w:rPr>
        <w:t>.</w:t>
      </w:r>
      <w:r w:rsidR="000D4C09" w:rsidRPr="000D4C09">
        <w:rPr>
          <w:rFonts w:eastAsiaTheme="minorEastAsia"/>
          <w:i/>
          <w:iCs/>
          <w:sz w:val="28"/>
          <w:szCs w:val="28"/>
          <w:lang w:val="en-US"/>
        </w:rPr>
        <w:t>1</w:t>
      </w:r>
      <w:r w:rsidR="00FC6E4A" w:rsidRPr="000D4C09">
        <w:rPr>
          <w:rFonts w:eastAsia="Times New Roman" w:cs="Times New Roman"/>
          <w:i/>
          <w:iCs/>
          <w:color w:val="auto"/>
          <w:szCs w:val="24"/>
          <w:lang w:val="en-US"/>
        </w:rPr>
        <w:t xml:space="preserve"> </w:t>
      </w:r>
      <w:r w:rsidR="00FC6E4A" w:rsidRPr="000D4C09">
        <w:rPr>
          <w:rFonts w:eastAsiaTheme="minorEastAsia"/>
          <w:i/>
          <w:iCs/>
          <w:sz w:val="28"/>
          <w:szCs w:val="28"/>
          <w:lang w:val="en-US"/>
        </w:rPr>
        <w:t>Prevalence, Pathogenesis, and Classification</w:t>
      </w:r>
      <w:bookmarkEnd w:id="20"/>
      <w:r w:rsidR="00B2154F" w:rsidRPr="000D4C09">
        <w:rPr>
          <w:rFonts w:eastAsiaTheme="minorEastAsia"/>
          <w:i/>
          <w:iCs/>
          <w:sz w:val="28"/>
          <w:szCs w:val="28"/>
          <w:lang w:val="en-US"/>
        </w:rPr>
        <w:t xml:space="preserve"> </w:t>
      </w:r>
    </w:p>
    <w:p w14:paraId="16002EE2" w14:textId="4F8731AB" w:rsidR="008C52D5" w:rsidRPr="001476B9" w:rsidRDefault="006E2DFB" w:rsidP="00101D71">
      <w:pPr>
        <w:spacing w:line="360" w:lineRule="auto"/>
        <w:jc w:val="both"/>
        <w:rPr>
          <w:rFonts w:eastAsiaTheme="minorEastAsia"/>
          <w:lang w:val="en-US"/>
        </w:rPr>
      </w:pPr>
      <w:r w:rsidRPr="006E2DFB">
        <w:rPr>
          <w:rFonts w:eastAsiaTheme="minorEastAsia"/>
          <w:lang w:val="en-US"/>
        </w:rPr>
        <w:t>Endometriosis is a benign chronic gynecological disorder characterized by the presence of endometrial-like tissue outside the uterine cavity. This ectopic tissue, consisting of endometrial glands and stroma, retains responsiveness to hormonal stimuli and elicits a persistent inflammatory response, leading to significant clinical manifestations as well as substantial psychosocial consequences</w:t>
      </w:r>
      <w:r w:rsidR="007F3F1C">
        <w:rPr>
          <w:rStyle w:val="Rimandonotadichiusura"/>
          <w:rFonts w:eastAsiaTheme="minorEastAsia"/>
        </w:rPr>
        <w:endnoteReference w:id="176"/>
      </w:r>
      <w:r w:rsidR="007F3F1C">
        <w:rPr>
          <w:rStyle w:val="Rimandonotadichiusura"/>
          <w:rFonts w:eastAsiaTheme="minorEastAsia"/>
        </w:rPr>
        <w:endnoteReference w:id="177"/>
      </w:r>
      <w:r w:rsidR="00101D71">
        <w:rPr>
          <w:rFonts w:eastAsiaTheme="minorEastAsia"/>
          <w:lang w:val="en-US"/>
        </w:rPr>
        <w:t>.</w:t>
      </w:r>
      <w:r w:rsidRPr="006E2DFB">
        <w:rPr>
          <w:lang w:val="en-US"/>
        </w:rPr>
        <w:t xml:space="preserve"> </w:t>
      </w:r>
      <w:r w:rsidRPr="006E2DFB">
        <w:rPr>
          <w:rFonts w:eastAsiaTheme="minorEastAsia"/>
          <w:lang w:val="en-US"/>
        </w:rPr>
        <w:t xml:space="preserve">Despite being one of the most common </w:t>
      </w:r>
      <w:r w:rsidRPr="006E2DFB">
        <w:rPr>
          <w:rFonts w:eastAsiaTheme="minorEastAsia"/>
          <w:lang w:val="en-US"/>
        </w:rPr>
        <w:lastRenderedPageBreak/>
        <w:t>gynecological conditions affecting women of reproductive age, endometriosis frequently remains undiagnosed or is diagnosed only after a substantial delay, resulting in considerable patient suffering and a marked negative impact on quality of life</w:t>
      </w:r>
      <w:r w:rsidR="007F3F1C">
        <w:rPr>
          <w:rStyle w:val="Rimandonotadichiusura"/>
          <w:rFonts w:eastAsiaTheme="minorEastAsia"/>
        </w:rPr>
        <w:endnoteReference w:id="178"/>
      </w:r>
      <w:r w:rsidR="00101D71">
        <w:rPr>
          <w:rFonts w:eastAsiaTheme="minorEastAsia"/>
          <w:lang w:val="en-US"/>
        </w:rPr>
        <w:t>.</w:t>
      </w:r>
      <w:r w:rsidR="002F70EC" w:rsidRPr="006E2DFB">
        <w:rPr>
          <w:lang w:val="en-US"/>
        </w:rPr>
        <w:t xml:space="preserve"> </w:t>
      </w:r>
      <w:r w:rsidR="002F70EC" w:rsidRPr="006E2DFB">
        <w:rPr>
          <w:rFonts w:eastAsiaTheme="minorEastAsia"/>
          <w:lang w:val="en-US"/>
        </w:rPr>
        <w:t>Endometriosis affects approximately 10% of women of reproductive age, with prevalence estimates rising to as high as 15% in certain populations. In Canada, the condition is estimated to affect around one million individuals. The prevalence is substantially higher in specific clinical subgroups, as endometriosis is identified in approximately 40–50% of women experiencing persistent chronic pelvic pain and in 30–40% of women with infertility</w:t>
      </w:r>
      <w:r w:rsidR="008D28EB">
        <w:rPr>
          <w:rFonts w:eastAsiaTheme="minorEastAsia"/>
          <w:vertAlign w:val="superscript"/>
          <w:lang w:val="en-US"/>
        </w:rPr>
        <w:t xml:space="preserve">178 </w:t>
      </w:r>
      <w:r w:rsidR="00840002">
        <w:rPr>
          <w:rStyle w:val="Rimandonotadichiusura"/>
          <w:rFonts w:eastAsiaTheme="minorEastAsia"/>
        </w:rPr>
        <w:endnoteReference w:id="179"/>
      </w:r>
      <w:r w:rsidR="00101D71">
        <w:rPr>
          <w:rFonts w:eastAsiaTheme="minorEastAsia"/>
          <w:lang w:val="en-US"/>
        </w:rPr>
        <w:t>.</w:t>
      </w:r>
    </w:p>
    <w:p w14:paraId="0E992279" w14:textId="2E5E9150" w:rsidR="008C52D5" w:rsidRPr="002F70EC" w:rsidRDefault="002F70EC" w:rsidP="006A4770">
      <w:pPr>
        <w:spacing w:line="360" w:lineRule="auto"/>
        <w:jc w:val="both"/>
        <w:rPr>
          <w:rFonts w:eastAsiaTheme="minorEastAsia"/>
          <w:lang w:val="en-US"/>
        </w:rPr>
      </w:pPr>
      <w:r w:rsidRPr="002F70EC">
        <w:rPr>
          <w:rFonts w:eastAsiaTheme="minorEastAsia"/>
          <w:lang w:val="en-US"/>
        </w:rPr>
        <w:t xml:space="preserve">Although the precise pathogenesis of endometriosis has not yet been fully elucidated, the most widely accepted hypothesis is the theory of retrograde menstruation. According to this model, during menstruation, endometrial cells contained within the menstrual fluid flow backward through the fallopian tubes into the peritoneal cavity. While retrograde menstruation is estimated to occur in </w:t>
      </w:r>
      <w:r w:rsidR="00DE5BF5" w:rsidRPr="002F70EC">
        <w:rPr>
          <w:rFonts w:eastAsiaTheme="minorEastAsia"/>
          <w:lang w:val="en-US"/>
        </w:rPr>
        <w:t>most</w:t>
      </w:r>
      <w:r w:rsidRPr="002F70EC">
        <w:rPr>
          <w:rFonts w:eastAsiaTheme="minorEastAsia"/>
          <w:lang w:val="en-US"/>
        </w:rPr>
        <w:t xml:space="preserve"> women, only a subset develops endometriosis, indicating that additional biological, immunological, and environmental factors are essential for disease initiation and progression</w:t>
      </w:r>
      <w:r w:rsidR="008D28EB">
        <w:rPr>
          <w:rFonts w:eastAsiaTheme="minorEastAsia"/>
          <w:vertAlign w:val="superscript"/>
          <w:lang w:val="en-US"/>
        </w:rPr>
        <w:t>177 178</w:t>
      </w:r>
      <w:r w:rsidRPr="002F70EC">
        <w:rPr>
          <w:rFonts w:eastAsiaTheme="minorEastAsia"/>
          <w:lang w:val="en-US"/>
        </w:rPr>
        <w:t>.</w:t>
      </w:r>
    </w:p>
    <w:p w14:paraId="782FD0BE" w14:textId="2082DBFC" w:rsidR="002F70EC" w:rsidRPr="002F70EC" w:rsidRDefault="002F70EC" w:rsidP="002F70EC">
      <w:pPr>
        <w:spacing w:line="360" w:lineRule="auto"/>
        <w:jc w:val="both"/>
        <w:rPr>
          <w:rFonts w:eastAsiaTheme="minorEastAsia"/>
          <w:lang w:val="en-US"/>
        </w:rPr>
      </w:pPr>
      <w:r w:rsidRPr="002F70EC">
        <w:rPr>
          <w:rFonts w:eastAsiaTheme="minorEastAsia"/>
          <w:lang w:val="en-US"/>
        </w:rPr>
        <w:t>Failure of the physiological mechanisms responsible for the clearance and elimination of ectopic endometrial cells allows their implantation and long-term survival within ectopic sites. This process is driven by multiple, interrelated biological alterations, including disrupted cell adhesion and enhanced proliferative capacity, which facilitate abnormal attachment and expansion of ectopic endometrial tissue</w:t>
      </w:r>
      <w:r w:rsidR="008D28EB">
        <w:rPr>
          <w:rFonts w:eastAsiaTheme="minorEastAsia"/>
          <w:vertAlign w:val="superscript"/>
          <w:lang w:val="en-US"/>
        </w:rPr>
        <w:t>176</w:t>
      </w:r>
      <w:r w:rsidRPr="002F70EC">
        <w:rPr>
          <w:rFonts w:eastAsiaTheme="minorEastAsia"/>
          <w:lang w:val="en-US"/>
        </w:rPr>
        <w:t>.</w:t>
      </w:r>
      <w:r w:rsidR="00D3663A">
        <w:rPr>
          <w:rFonts w:eastAsiaTheme="minorEastAsia"/>
          <w:lang w:val="en-US"/>
        </w:rPr>
        <w:t xml:space="preserve"> </w:t>
      </w:r>
      <w:r w:rsidRPr="002F70EC">
        <w:rPr>
          <w:rFonts w:eastAsiaTheme="minorEastAsia"/>
          <w:lang w:val="en-US"/>
        </w:rPr>
        <w:t>In addition, accumulating evidence indicates that somatic mutations may arise within ectopic lesions, conferring selective growth and survival advantages to endometrial cells and contributing to lesion persistence and progression</w:t>
      </w:r>
      <w:r w:rsidR="00D3663A">
        <w:rPr>
          <w:rStyle w:val="Rimandonotadichiusura"/>
          <w:rFonts w:eastAsiaTheme="minorEastAsia"/>
          <w:lang w:val="en-US"/>
        </w:rPr>
        <w:endnoteReference w:id="180"/>
      </w:r>
      <w:r w:rsidRPr="002F70EC">
        <w:rPr>
          <w:rFonts w:eastAsiaTheme="minorEastAsia"/>
          <w:lang w:val="en-US"/>
        </w:rPr>
        <w:t>.</w:t>
      </w:r>
    </w:p>
    <w:p w14:paraId="5D67F871" w14:textId="0975305E" w:rsidR="002F70EC" w:rsidRPr="002F70EC" w:rsidRDefault="002F70EC" w:rsidP="002F70EC">
      <w:pPr>
        <w:spacing w:line="360" w:lineRule="auto"/>
        <w:jc w:val="both"/>
        <w:rPr>
          <w:rFonts w:eastAsiaTheme="minorEastAsia"/>
          <w:lang w:val="en-US"/>
        </w:rPr>
      </w:pPr>
      <w:r w:rsidRPr="002F70EC">
        <w:rPr>
          <w:rFonts w:eastAsiaTheme="minorEastAsia"/>
          <w:lang w:val="en-US"/>
        </w:rPr>
        <w:t>A sustained inflammatory microenvironment further supports lesion establishment, as chronic cytokine- and chemokine-mediated inflammation promotes angiogenesis, tissue remodeling, and immune cell recruitment, thereby reinforcing disease chronicity. Local dysregulation of steroidogenesis also plays a central role, with ectopic endometrial tissue acquiring the ability to synthesize estrogens locally, which in turn stimulates cellular proliferation and perpetuates inflammatory signaling in an autocrine and paracrine manner</w:t>
      </w:r>
      <w:r w:rsidR="008D28EB">
        <w:rPr>
          <w:rFonts w:eastAsiaTheme="minorEastAsia"/>
          <w:vertAlign w:val="superscript"/>
          <w:lang w:val="en-US"/>
        </w:rPr>
        <w:t>220</w:t>
      </w:r>
      <w:r w:rsidRPr="002F70EC">
        <w:rPr>
          <w:rFonts w:eastAsiaTheme="minorEastAsia"/>
          <w:lang w:val="en-US"/>
        </w:rPr>
        <w:t>.</w:t>
      </w:r>
    </w:p>
    <w:p w14:paraId="4CD5A911" w14:textId="6D298C8B" w:rsidR="008C52D5" w:rsidRPr="002F70EC" w:rsidRDefault="002F70EC" w:rsidP="002F70EC">
      <w:pPr>
        <w:spacing w:line="360" w:lineRule="auto"/>
        <w:jc w:val="both"/>
        <w:rPr>
          <w:rFonts w:eastAsiaTheme="minorEastAsia"/>
          <w:lang w:val="en-US"/>
        </w:rPr>
      </w:pPr>
      <w:r w:rsidRPr="002F70EC">
        <w:rPr>
          <w:rFonts w:eastAsiaTheme="minorEastAsia"/>
          <w:lang w:val="en-US"/>
        </w:rPr>
        <w:lastRenderedPageBreak/>
        <w:t>Moreover, pathological neurogenesis has emerged as a key feature of endometriosis, characterized by aberrant growth and increased density of nerve fibers within endometriotic lesions, which contributes not only to lesion maintenance but also to the development and persistence of chronic pelvic pain. Finally, immune dysregulation represents a critical pathogenic mechanism, as impaired cellular and humoral immune responses reduce the capacity to recognize and eliminate ectopic endometrial cells, thereby enabling their survival and expansion in ectopic environments</w:t>
      </w:r>
      <w:r w:rsidR="00E200CC">
        <w:rPr>
          <w:rStyle w:val="Rimandonotadichiusura"/>
          <w:rFonts w:eastAsiaTheme="minorEastAsia"/>
        </w:rPr>
        <w:endnoteReference w:id="181"/>
      </w:r>
      <w:r w:rsidR="00101D71">
        <w:rPr>
          <w:rFonts w:eastAsiaTheme="minorEastAsia"/>
          <w:lang w:val="en-US"/>
        </w:rPr>
        <w:t>.</w:t>
      </w:r>
    </w:p>
    <w:p w14:paraId="0866BA2A" w14:textId="7CF96A46" w:rsidR="002F70EC" w:rsidRDefault="00B76D16" w:rsidP="006A4770">
      <w:pPr>
        <w:spacing w:line="360" w:lineRule="auto"/>
        <w:jc w:val="both"/>
        <w:rPr>
          <w:rFonts w:eastAsiaTheme="minorEastAsia"/>
          <w:lang w:val="en-US"/>
        </w:rPr>
      </w:pPr>
      <w:r w:rsidRPr="00B76D16">
        <w:rPr>
          <w:rFonts w:eastAsiaTheme="minorEastAsia"/>
          <w:lang w:val="en-US"/>
        </w:rPr>
        <w:t xml:space="preserve">The coelomic metaplasia hypothesis posits that the peritoneal mesothelium, which is embryologically derived from coelomic epithelial cells, undergoes a metaplastic transformation into endometrial-like glandular and stromal </w:t>
      </w:r>
      <w:proofErr w:type="spellStart"/>
      <w:r w:rsidRPr="00B76D16">
        <w:rPr>
          <w:rFonts w:eastAsiaTheme="minorEastAsia"/>
          <w:lang w:val="en-US"/>
        </w:rPr>
        <w:t>tiss</w:t>
      </w:r>
      <w:proofErr w:type="spellEnd"/>
      <w:r>
        <w:rPr>
          <w:rStyle w:val="Rimandonotadichiusura"/>
          <w:rFonts w:eastAsiaTheme="minorEastAsia"/>
          <w:lang w:val="en-US"/>
        </w:rPr>
        <w:endnoteReference w:id="182"/>
      </w:r>
      <w:r w:rsidRPr="00B76D16">
        <w:rPr>
          <w:rFonts w:eastAsiaTheme="minorEastAsia"/>
          <w:lang w:val="en-US"/>
        </w:rPr>
        <w:t>.</w:t>
      </w:r>
      <w:r>
        <w:rPr>
          <w:rFonts w:eastAsiaTheme="minorEastAsia"/>
          <w:lang w:val="en-US"/>
        </w:rPr>
        <w:t xml:space="preserve"> </w:t>
      </w:r>
      <w:r w:rsidR="00E200CC" w:rsidRPr="00E200CC">
        <w:rPr>
          <w:rFonts w:eastAsiaTheme="minorEastAsia"/>
          <w:lang w:val="en-US"/>
        </w:rPr>
        <w:t>Immunohistochemical investigations of endometriosis have revealed a highly complex molecular landscape, characterized by profound alterations in multiple biological pathways involved in inflammation, cell adhesion, cell survival, and pain perception</w:t>
      </w:r>
      <w:r w:rsidR="008D28EB">
        <w:rPr>
          <w:rFonts w:eastAsiaTheme="minorEastAsia"/>
          <w:vertAlign w:val="superscript"/>
          <w:lang w:val="en-US"/>
        </w:rPr>
        <w:t>176 177</w:t>
      </w:r>
      <w:r w:rsidR="001430F6" w:rsidRPr="006A4770">
        <w:rPr>
          <w:rStyle w:val="Rimandonotadichiusura"/>
          <w:rFonts w:eastAsiaTheme="minorEastAsia"/>
          <w:lang w:val="en-US"/>
        </w:rPr>
        <w:endnoteReference w:id="183"/>
      </w:r>
      <w:r w:rsidR="00101D71">
        <w:rPr>
          <w:rFonts w:eastAsiaTheme="minorEastAsia"/>
          <w:lang w:val="en-US"/>
        </w:rPr>
        <w:t xml:space="preserve">. </w:t>
      </w:r>
      <w:r w:rsidR="00E200CC" w:rsidRPr="00E200CC">
        <w:rPr>
          <w:rFonts w:eastAsiaTheme="minorEastAsia"/>
          <w:lang w:val="en-US"/>
        </w:rPr>
        <w:t>The microenvironment of endometriotic lesions is markedly pro-inflammatory, with increased expression of mediators such as leukemia inhibitory factor (LIF), which is particularly elevated in ectopic tissue during the secretory phase and contributes to the maintenance of local inflammation while potentially impairing embryo implantation mechanisms</w:t>
      </w:r>
      <w:r w:rsidR="008D28EB">
        <w:rPr>
          <w:rFonts w:eastAsiaTheme="minorEastAsia"/>
          <w:vertAlign w:val="superscript"/>
          <w:lang w:val="en-US"/>
        </w:rPr>
        <w:t>177</w:t>
      </w:r>
      <w:r w:rsidR="00101D71" w:rsidRPr="006A4770">
        <w:rPr>
          <w:rStyle w:val="Rimandonotadichiusura"/>
          <w:rFonts w:eastAsiaTheme="minorEastAsia"/>
          <w:lang w:val="en-US"/>
        </w:rPr>
        <w:endnoteReference w:id="184"/>
      </w:r>
      <w:r w:rsidR="001430F6" w:rsidRPr="006A4770">
        <w:rPr>
          <w:rFonts w:eastAsiaTheme="minorEastAsia"/>
          <w:lang w:val="en-US"/>
        </w:rPr>
        <w:t xml:space="preserve">. </w:t>
      </w:r>
    </w:p>
    <w:p w14:paraId="7E9C0126" w14:textId="1EA28FAB" w:rsidR="006A4770" w:rsidRDefault="00E200CC" w:rsidP="006A4770">
      <w:pPr>
        <w:spacing w:line="360" w:lineRule="auto"/>
        <w:jc w:val="both"/>
        <w:rPr>
          <w:rFonts w:eastAsiaTheme="minorEastAsia"/>
          <w:lang w:val="en-US"/>
        </w:rPr>
      </w:pPr>
      <w:r w:rsidRPr="00E200CC">
        <w:rPr>
          <w:rFonts w:eastAsiaTheme="minorEastAsia"/>
          <w:lang w:val="en-US"/>
        </w:rPr>
        <w:t>Concomitantly, cyclooxygenase-2 (COX-2) is overexpressed in both eutopic and ectopic endometrial tissues, promoting excessive prostaglandin synthesis and playing a central role in the development of pelvic pain and the persistence of chronic inflammation</w:t>
      </w:r>
      <w:r w:rsidR="001430F6" w:rsidRPr="006A4770">
        <w:rPr>
          <w:rStyle w:val="Rimandonotadichiusura"/>
          <w:rFonts w:eastAsiaTheme="minorEastAsia"/>
          <w:lang w:val="en-US"/>
        </w:rPr>
        <w:endnoteReference w:id="185"/>
      </w:r>
      <w:r w:rsidR="00101D71">
        <w:rPr>
          <w:rFonts w:eastAsiaTheme="minorEastAsia"/>
          <w:lang w:val="en-US"/>
        </w:rPr>
        <w:t>.</w:t>
      </w:r>
    </w:p>
    <w:p w14:paraId="6676610E" w14:textId="2ED48870" w:rsidR="00E200CC" w:rsidRPr="00E200CC" w:rsidRDefault="00E200CC" w:rsidP="006A4770">
      <w:pPr>
        <w:spacing w:line="360" w:lineRule="auto"/>
        <w:jc w:val="both"/>
        <w:rPr>
          <w:rFonts w:eastAsiaTheme="minorEastAsia"/>
          <w:lang w:val="en-US"/>
        </w:rPr>
      </w:pPr>
      <w:r w:rsidRPr="00E200CC">
        <w:rPr>
          <w:rFonts w:eastAsiaTheme="minorEastAsia"/>
          <w:lang w:val="en-US"/>
        </w:rPr>
        <w:t>Growing evidence also supports the involvement of stress-response systems, as increased levels of corticotropin-releasing hormone (CRH) and urocortin (UCN) have been detected in endometriotic lesions, where they contribute to immune modulation and amplification of inflammatory signaling</w:t>
      </w:r>
      <w:r w:rsidR="001430F6" w:rsidRPr="006A4770">
        <w:rPr>
          <w:rStyle w:val="Rimandonotadichiusura"/>
          <w:rFonts w:eastAsiaTheme="minorEastAsia"/>
          <w:lang w:val="en-US"/>
        </w:rPr>
        <w:endnoteReference w:id="186"/>
      </w:r>
      <w:r w:rsidR="00101D71">
        <w:rPr>
          <w:rFonts w:eastAsiaTheme="minorEastAsia"/>
          <w:lang w:val="en-US"/>
        </w:rPr>
        <w:t>.</w:t>
      </w:r>
    </w:p>
    <w:p w14:paraId="2DB2C3DB" w14:textId="63244740" w:rsidR="006A4770" w:rsidRPr="006A4770" w:rsidRDefault="00E200CC" w:rsidP="006A4770">
      <w:pPr>
        <w:spacing w:line="360" w:lineRule="auto"/>
        <w:jc w:val="both"/>
        <w:rPr>
          <w:rFonts w:eastAsiaTheme="minorEastAsia"/>
          <w:lang w:val="en-US"/>
        </w:rPr>
      </w:pPr>
      <w:r w:rsidRPr="00E200CC">
        <w:rPr>
          <w:rFonts w:eastAsiaTheme="minorEastAsia"/>
          <w:lang w:val="en-US"/>
        </w:rPr>
        <w:t>Within this context, mast cell infiltration and activation emerge as key pathogenic features, with a higher density of activated and degranulated mast cells observed in ectopic tissue, particularly in deep infiltrating endometriosis compared with superficial peritoneal lesions</w:t>
      </w:r>
      <w:r w:rsidR="001430F6" w:rsidRPr="006A4770">
        <w:rPr>
          <w:rStyle w:val="Rimandonotadichiusura"/>
          <w:rFonts w:eastAsiaTheme="minorEastAsia"/>
          <w:lang w:val="en-US"/>
        </w:rPr>
        <w:endnoteReference w:id="187"/>
      </w:r>
      <w:r w:rsidR="00101D71">
        <w:rPr>
          <w:rFonts w:eastAsiaTheme="minorEastAsia"/>
          <w:lang w:val="en-US"/>
        </w:rPr>
        <w:t>.</w:t>
      </w:r>
    </w:p>
    <w:p w14:paraId="5675A1D8" w14:textId="77777777" w:rsidR="003F4911" w:rsidRDefault="00E200CC" w:rsidP="006A4770">
      <w:pPr>
        <w:spacing w:line="360" w:lineRule="auto"/>
        <w:jc w:val="both"/>
        <w:rPr>
          <w:rFonts w:eastAsiaTheme="minorEastAsia"/>
          <w:lang w:val="en-US"/>
        </w:rPr>
      </w:pPr>
      <w:r w:rsidRPr="00E200CC">
        <w:rPr>
          <w:rFonts w:eastAsiaTheme="minorEastAsia"/>
          <w:lang w:val="en-US"/>
        </w:rPr>
        <w:t>Consistent with a state of persistent oxidative stress, variable expression of heme oxygenase (HO) has been reported in endometriotic lesions, suggesting an imbalance in antioxidant defense mechanisms that further sustains the inflammatory milieu</w:t>
      </w:r>
      <w:r w:rsidR="00E80DC2" w:rsidRPr="006A4770">
        <w:rPr>
          <w:rStyle w:val="Rimandonotadichiusura"/>
          <w:rFonts w:eastAsiaTheme="minorEastAsia"/>
          <w:lang w:val="en-US"/>
        </w:rPr>
        <w:endnoteReference w:id="188"/>
      </w:r>
      <w:r w:rsidR="00101D71">
        <w:rPr>
          <w:rFonts w:eastAsiaTheme="minorEastAsia"/>
          <w:lang w:val="en-US"/>
        </w:rPr>
        <w:t>.</w:t>
      </w:r>
      <w:r w:rsidR="006A4770" w:rsidRPr="006A4770">
        <w:rPr>
          <w:rFonts w:eastAsiaTheme="minorEastAsia"/>
          <w:lang w:val="en-US"/>
        </w:rPr>
        <w:t xml:space="preserve"> </w:t>
      </w:r>
      <w:r w:rsidRPr="00E200CC">
        <w:rPr>
          <w:rFonts w:eastAsiaTheme="minorEastAsia"/>
          <w:lang w:val="en-US"/>
        </w:rPr>
        <w:t xml:space="preserve">From </w:t>
      </w:r>
      <w:r w:rsidRPr="00E200CC">
        <w:rPr>
          <w:rFonts w:eastAsiaTheme="minorEastAsia"/>
          <w:lang w:val="en-US"/>
        </w:rPr>
        <w:lastRenderedPageBreak/>
        <w:t>the perspective of cell adhesion and invasiveness, endometriosis is characterized by dysregulated expression of adhesion molecules, including integrins</w:t>
      </w:r>
      <w:r w:rsidR="00C956C5">
        <w:rPr>
          <w:rFonts w:eastAsiaTheme="minorEastAsia"/>
          <w:lang w:val="en-US"/>
        </w:rPr>
        <w:t xml:space="preserve"> – </w:t>
      </w:r>
      <w:r w:rsidRPr="00E200CC">
        <w:rPr>
          <w:rFonts w:eastAsiaTheme="minorEastAsia"/>
          <w:lang w:val="en-US"/>
        </w:rPr>
        <w:t xml:space="preserve">particularly the </w:t>
      </w:r>
      <w:r w:rsidRPr="00E200CC">
        <w:rPr>
          <w:rFonts w:eastAsiaTheme="minorEastAsia"/>
        </w:rPr>
        <w:t>α</w:t>
      </w:r>
      <w:r w:rsidRPr="00E200CC">
        <w:rPr>
          <w:rFonts w:eastAsiaTheme="minorEastAsia"/>
          <w:lang w:val="en-US"/>
        </w:rPr>
        <w:t xml:space="preserve">4 and </w:t>
      </w:r>
      <w:r w:rsidRPr="00E200CC">
        <w:rPr>
          <w:rFonts w:eastAsiaTheme="minorEastAsia"/>
        </w:rPr>
        <w:t>α</w:t>
      </w:r>
      <w:r w:rsidRPr="00E200CC">
        <w:rPr>
          <w:rFonts w:eastAsiaTheme="minorEastAsia"/>
          <w:lang w:val="en-US"/>
        </w:rPr>
        <w:t>5 subunits</w:t>
      </w:r>
      <w:r w:rsidR="00C956C5">
        <w:rPr>
          <w:rFonts w:eastAsiaTheme="minorEastAsia"/>
          <w:lang w:val="en-US"/>
        </w:rPr>
        <w:t xml:space="preserve"> – </w:t>
      </w:r>
      <w:r w:rsidRPr="00E200CC">
        <w:rPr>
          <w:rFonts w:eastAsiaTheme="minorEastAsia"/>
          <w:lang w:val="en-US"/>
        </w:rPr>
        <w:t>which facilitate abnormal cellular attachment and migration of ectopic endometrial cells into surrounding tissues</w:t>
      </w:r>
      <w:r w:rsidR="00E80DC2" w:rsidRPr="006A4770">
        <w:rPr>
          <w:rStyle w:val="Rimandonotadichiusura"/>
          <w:rFonts w:eastAsiaTheme="minorEastAsia"/>
          <w:lang w:val="en-US"/>
        </w:rPr>
        <w:endnoteReference w:id="189"/>
      </w:r>
      <w:r w:rsidR="00C956C5">
        <w:rPr>
          <w:rFonts w:eastAsiaTheme="minorEastAsia"/>
          <w:lang w:val="en-US"/>
        </w:rPr>
        <w:t>.</w:t>
      </w:r>
      <w:r w:rsidR="006A4770" w:rsidRPr="006A4770">
        <w:rPr>
          <w:rFonts w:eastAsiaTheme="minorEastAsia"/>
          <w:lang w:val="en-US"/>
        </w:rPr>
        <w:t xml:space="preserve"> </w:t>
      </w:r>
      <w:r w:rsidRPr="00E200CC">
        <w:rPr>
          <w:rFonts w:eastAsiaTheme="minorEastAsia"/>
          <w:lang w:val="en-US"/>
        </w:rPr>
        <w:t>Simultaneously, reduced expression of CD44 and E-cadherin in ectopic tissue reflects a loss of normal cell–cell adhesion, promoting a more migratory and invasive cellular phenotype</w:t>
      </w:r>
      <w:r w:rsidR="008D28EB">
        <w:rPr>
          <w:rFonts w:eastAsiaTheme="minorEastAsia"/>
          <w:vertAlign w:val="superscript"/>
          <w:lang w:val="en-US"/>
        </w:rPr>
        <w:t>220</w:t>
      </w:r>
      <w:r w:rsidR="00E80DC2" w:rsidRPr="006A4770">
        <w:rPr>
          <w:rFonts w:eastAsiaTheme="minorEastAsia"/>
          <w:lang w:val="en-US"/>
        </w:rPr>
        <w:t xml:space="preserve">. </w:t>
      </w:r>
      <w:r w:rsidRPr="00E200CC">
        <w:rPr>
          <w:rFonts w:eastAsiaTheme="minorEastAsia"/>
          <w:lang w:val="en-US"/>
        </w:rPr>
        <w:t>The presence of phosphorylated ezrin within the stromal compartment of endometriotic lesions further supports the role of cytoskeletal reorganization and cell–matrix interactions in disease progression and invasiveness</w:t>
      </w:r>
      <w:r w:rsidR="00E80DC2" w:rsidRPr="006A4770">
        <w:rPr>
          <w:rStyle w:val="Rimandonotadichiusura"/>
          <w:rFonts w:eastAsiaTheme="minorEastAsia"/>
          <w:lang w:val="en-US"/>
        </w:rPr>
        <w:endnoteReference w:id="190"/>
      </w:r>
      <w:r w:rsidR="003F4911">
        <w:rPr>
          <w:rFonts w:eastAsiaTheme="minorEastAsia"/>
          <w:lang w:val="en-US"/>
        </w:rPr>
        <w:t>.</w:t>
      </w:r>
      <w:r w:rsidR="00101D71">
        <w:rPr>
          <w:rFonts w:eastAsiaTheme="minorEastAsia"/>
          <w:lang w:val="en-US"/>
        </w:rPr>
        <w:t xml:space="preserve"> </w:t>
      </w:r>
    </w:p>
    <w:p w14:paraId="20406816" w14:textId="0ABDC17C" w:rsidR="00E200CC" w:rsidRPr="00E200CC" w:rsidRDefault="00E200CC" w:rsidP="006A4770">
      <w:pPr>
        <w:spacing w:line="360" w:lineRule="auto"/>
        <w:jc w:val="both"/>
        <w:rPr>
          <w:rFonts w:eastAsiaTheme="minorEastAsia"/>
          <w:lang w:val="en-US"/>
        </w:rPr>
      </w:pPr>
      <w:r w:rsidRPr="00E200CC">
        <w:rPr>
          <w:rFonts w:eastAsiaTheme="minorEastAsia"/>
          <w:lang w:val="en-US"/>
        </w:rPr>
        <w:t>Another critical pathogenic hallmark is the dysregulation of apoptotic pathways, as demonstrated by reduced p53 expression in ectopic tissue, indicating impaired elimination of aberrant cells</w:t>
      </w:r>
      <w:r w:rsidR="008D28EB">
        <w:rPr>
          <w:rFonts w:eastAsiaTheme="minorEastAsia"/>
          <w:vertAlign w:val="superscript"/>
          <w:lang w:val="en-US"/>
        </w:rPr>
        <w:t>183</w:t>
      </w:r>
      <w:r w:rsidR="00E80DC2" w:rsidRPr="006A4770">
        <w:rPr>
          <w:rFonts w:eastAsiaTheme="minorEastAsia"/>
          <w:lang w:val="en-US"/>
        </w:rPr>
        <w:t xml:space="preserve">. </w:t>
      </w:r>
      <w:r w:rsidRPr="00E200CC">
        <w:rPr>
          <w:rFonts w:eastAsiaTheme="minorEastAsia"/>
          <w:lang w:val="en-US"/>
        </w:rPr>
        <w:t>In parallel, increased expression of the anti-apoptotic protein BCL-2 confers a survival advantage to ectopic cells and has been correlated with disease severity, particularly in deep infiltrating endometriosis</w:t>
      </w:r>
      <w:r w:rsidR="008D28EB">
        <w:rPr>
          <w:rFonts w:eastAsiaTheme="minorEastAsia"/>
          <w:vertAlign w:val="superscript"/>
          <w:lang w:val="en-US"/>
        </w:rPr>
        <w:t>183</w:t>
      </w:r>
      <w:r w:rsidR="008D28EB">
        <w:rPr>
          <w:rFonts w:eastAsiaTheme="minorEastAsia"/>
          <w:lang w:val="en-US"/>
        </w:rPr>
        <w:t>.</w:t>
      </w:r>
      <w:r w:rsidRPr="00E200CC">
        <w:rPr>
          <w:rFonts w:eastAsiaTheme="minorEastAsia"/>
          <w:lang w:val="en-US"/>
        </w:rPr>
        <w:t>Moreover, decreased levels of PIAS3 suggest disruption of the STAT3 signaling pathway, which is known to regulate cell proliferation and sustain chronic inflammatory response</w:t>
      </w:r>
      <w:r w:rsidR="0017420D">
        <w:rPr>
          <w:rFonts w:eastAsiaTheme="minorEastAsia"/>
          <w:lang w:val="en-US"/>
        </w:rPr>
        <w:t>s</w:t>
      </w:r>
      <w:r w:rsidR="008D28EB">
        <w:rPr>
          <w:rFonts w:eastAsiaTheme="minorEastAsia"/>
          <w:vertAlign w:val="superscript"/>
          <w:lang w:val="en-US"/>
        </w:rPr>
        <w:t>183</w:t>
      </w:r>
      <w:r w:rsidR="003F4911">
        <w:rPr>
          <w:rFonts w:eastAsiaTheme="minorEastAsia"/>
          <w:vertAlign w:val="superscript"/>
          <w:lang w:val="en-US"/>
        </w:rPr>
        <w:t xml:space="preserve"> </w:t>
      </w:r>
      <w:r w:rsidR="00E80DC2" w:rsidRPr="006A4770">
        <w:rPr>
          <w:rStyle w:val="Rimandonotadichiusura"/>
          <w:rFonts w:eastAsiaTheme="minorEastAsia"/>
          <w:lang w:val="en-US"/>
        </w:rPr>
        <w:endnoteReference w:id="191"/>
      </w:r>
      <w:r w:rsidR="0017420D">
        <w:rPr>
          <w:rFonts w:eastAsiaTheme="minorEastAsia"/>
          <w:lang w:val="en-US"/>
        </w:rPr>
        <w:t>.</w:t>
      </w:r>
    </w:p>
    <w:p w14:paraId="61E5E942" w14:textId="4FF9BB9C" w:rsidR="00E200CC" w:rsidRPr="00E200CC" w:rsidRDefault="00E200CC" w:rsidP="006A4770">
      <w:pPr>
        <w:spacing w:line="360" w:lineRule="auto"/>
        <w:jc w:val="both"/>
        <w:rPr>
          <w:rFonts w:eastAsiaTheme="minorEastAsia"/>
          <w:lang w:val="en-US"/>
        </w:rPr>
      </w:pPr>
      <w:r w:rsidRPr="00E200CC">
        <w:rPr>
          <w:rFonts w:eastAsiaTheme="minorEastAsia"/>
          <w:lang w:val="en-US"/>
        </w:rPr>
        <w:t>Neural involvement represents a pivotal component in the pathogenesis of endometriosis-associated pain, as evidenced by the presence of the neuronal marker PGP9.5 within endometriotic tissue but not in healthy controls, indicating lesion-associated neo-innervation</w:t>
      </w:r>
      <w:r w:rsidR="00E80DC2" w:rsidRPr="006A4770">
        <w:rPr>
          <w:rStyle w:val="Rimandonotadichiusura"/>
          <w:rFonts w:eastAsiaTheme="minorEastAsia"/>
          <w:lang w:val="en-US"/>
        </w:rPr>
        <w:endnoteReference w:id="192"/>
      </w:r>
      <w:r w:rsidR="00101D71">
        <w:rPr>
          <w:rFonts w:eastAsiaTheme="minorEastAsia"/>
          <w:lang w:val="en-US"/>
        </w:rPr>
        <w:t>.</w:t>
      </w:r>
    </w:p>
    <w:p w14:paraId="48164EC8" w14:textId="464A17BD" w:rsidR="00E200CC" w:rsidRDefault="00E200CC" w:rsidP="006A4770">
      <w:pPr>
        <w:spacing w:line="360" w:lineRule="auto"/>
        <w:jc w:val="both"/>
        <w:rPr>
          <w:rFonts w:eastAsiaTheme="minorEastAsia"/>
          <w:lang w:val="en-US"/>
        </w:rPr>
      </w:pPr>
      <w:r w:rsidRPr="00E200CC">
        <w:rPr>
          <w:rFonts w:eastAsiaTheme="minorEastAsia"/>
          <w:lang w:val="en-US"/>
        </w:rPr>
        <w:t>Additionally, localized expression of nerve growth factor (NGF), particularly pronounced in ovarian lesions, promotes nerve fiber growth and peripheral sensitization, thereby contributing to chronic pain development</w:t>
      </w:r>
      <w:r w:rsidR="00E80DC2" w:rsidRPr="006A4770">
        <w:rPr>
          <w:rStyle w:val="Rimandonotadichiusura"/>
          <w:rFonts w:eastAsiaTheme="minorEastAsia"/>
          <w:lang w:val="en-US"/>
        </w:rPr>
        <w:endnoteReference w:id="193"/>
      </w:r>
      <w:r w:rsidR="00101D71">
        <w:rPr>
          <w:rFonts w:eastAsiaTheme="minorEastAsia"/>
          <w:lang w:val="en-US"/>
        </w:rPr>
        <w:t>.</w:t>
      </w:r>
      <w:r w:rsidR="002F70EC">
        <w:rPr>
          <w:rFonts w:eastAsiaTheme="minorEastAsia"/>
          <w:lang w:val="en-US"/>
        </w:rPr>
        <w:t xml:space="preserve"> </w:t>
      </w:r>
      <w:r w:rsidRPr="00E200CC">
        <w:rPr>
          <w:rFonts w:eastAsiaTheme="minorEastAsia"/>
          <w:lang w:val="en-US"/>
        </w:rPr>
        <w:t>Finally, increased expression of the transient receptor potential channels TRPA1 and TRPV1</w:t>
      </w:r>
      <w:r w:rsidR="00E80DC2" w:rsidRPr="006A4770">
        <w:rPr>
          <w:rFonts w:eastAsiaTheme="minorEastAsia"/>
          <w:lang w:val="en-US"/>
        </w:rPr>
        <w:t xml:space="preserve">, </w:t>
      </w:r>
      <w:r w:rsidRPr="00E200CC">
        <w:rPr>
          <w:rFonts w:eastAsiaTheme="minorEastAsia"/>
          <w:lang w:val="en-US"/>
        </w:rPr>
        <w:t>especially in deep endometriosis</w:t>
      </w:r>
      <w:r w:rsidR="00E80DC2" w:rsidRPr="006A4770">
        <w:rPr>
          <w:rFonts w:eastAsiaTheme="minorEastAsia"/>
          <w:lang w:val="en-US"/>
        </w:rPr>
        <w:t>,</w:t>
      </w:r>
      <w:r w:rsidR="009C7A19">
        <w:rPr>
          <w:rFonts w:eastAsiaTheme="minorEastAsia"/>
          <w:lang w:val="en-US"/>
        </w:rPr>
        <w:t xml:space="preserve"> </w:t>
      </w:r>
      <w:r w:rsidRPr="00E200CC">
        <w:rPr>
          <w:rFonts w:eastAsiaTheme="minorEastAsia"/>
          <w:lang w:val="en-US"/>
        </w:rPr>
        <w:t>has been implicated in nociceptive signal transduction and the maintenance of chronic pelvic pain</w:t>
      </w:r>
      <w:r w:rsidR="00E80DC2" w:rsidRPr="006A4770">
        <w:rPr>
          <w:rStyle w:val="Rimandonotadichiusura"/>
          <w:rFonts w:eastAsiaTheme="minorEastAsia"/>
          <w:lang w:val="en-US"/>
        </w:rPr>
        <w:endnoteReference w:id="194"/>
      </w:r>
      <w:r w:rsidR="00101D71">
        <w:rPr>
          <w:rFonts w:eastAsiaTheme="minorEastAsia"/>
          <w:lang w:val="en-US"/>
        </w:rPr>
        <w:t>.</w:t>
      </w:r>
      <w:r w:rsidR="009D6912">
        <w:rPr>
          <w:rFonts w:eastAsiaTheme="minorEastAsia"/>
          <w:lang w:val="en-US"/>
        </w:rPr>
        <w:t xml:space="preserve"> </w:t>
      </w:r>
      <w:r w:rsidR="009D6912" w:rsidRPr="009D6912">
        <w:rPr>
          <w:rFonts w:eastAsiaTheme="minorEastAsia"/>
          <w:i/>
          <w:iCs/>
          <w:lang w:val="en-US"/>
        </w:rPr>
        <w:t>(Figure 6)</w:t>
      </w:r>
    </w:p>
    <w:p w14:paraId="1852035A" w14:textId="2679CDA0" w:rsidR="00EF3012" w:rsidRPr="00D3663A" w:rsidRDefault="00EF3012" w:rsidP="00EF3012">
      <w:pPr>
        <w:spacing w:line="360" w:lineRule="auto"/>
        <w:jc w:val="both"/>
        <w:rPr>
          <w:rFonts w:eastAsiaTheme="minorEastAsia"/>
          <w:i/>
          <w:iCs/>
          <w:lang w:val="en-US"/>
        </w:rPr>
      </w:pPr>
      <w:r w:rsidRPr="00D3663A">
        <w:rPr>
          <w:rFonts w:eastAsiaTheme="minorEastAsia"/>
          <w:i/>
          <w:iCs/>
          <w:lang w:val="en-US"/>
        </w:rPr>
        <w:t>Risk factors</w:t>
      </w:r>
    </w:p>
    <w:p w14:paraId="23C9DA7D" w14:textId="191884A5" w:rsidR="008C52D5" w:rsidRDefault="00D667E8" w:rsidP="00EF3012">
      <w:pPr>
        <w:spacing w:line="360" w:lineRule="auto"/>
        <w:jc w:val="both"/>
        <w:rPr>
          <w:rFonts w:eastAsiaTheme="minorEastAsia"/>
          <w:lang w:val="en-US"/>
        </w:rPr>
      </w:pPr>
      <w:r w:rsidRPr="005C704C">
        <w:rPr>
          <w:rFonts w:eastAsiaTheme="minorEastAsia"/>
          <w:lang w:val="en-US"/>
        </w:rPr>
        <w:t>Several epidemiological and biological factors have been identified as predisposing to the development of endometriosis, suggesting a multifactorial etiology involving early-life, reproductive, metabolic, and genetic influences</w:t>
      </w:r>
      <w:r w:rsidR="005C704C">
        <w:rPr>
          <w:rFonts w:eastAsiaTheme="minorEastAsia"/>
          <w:lang w:val="en-US"/>
        </w:rPr>
        <w:t>.</w:t>
      </w:r>
      <w:r w:rsidRPr="005C704C">
        <w:rPr>
          <w:rFonts w:eastAsiaTheme="minorEastAsia"/>
          <w:lang w:val="en-US"/>
        </w:rPr>
        <w:t xml:space="preserve"> </w:t>
      </w:r>
      <w:r w:rsidR="005C704C" w:rsidRPr="005C704C">
        <w:rPr>
          <w:rFonts w:eastAsiaTheme="minorEastAsia"/>
          <w:lang w:val="en-US"/>
        </w:rPr>
        <w:t>Low birth weight has been associated with an increased risk of endometriosis later in life, supporting the hypothesis that early developmental programming may influence disease susceptibility</w:t>
      </w:r>
      <w:r w:rsidR="008D28EB">
        <w:rPr>
          <w:rFonts w:eastAsiaTheme="minorEastAsia"/>
          <w:vertAlign w:val="superscript"/>
          <w:lang w:val="en-US"/>
        </w:rPr>
        <w:t>184</w:t>
      </w:r>
      <w:r w:rsidR="008D28EB">
        <w:rPr>
          <w:rFonts w:eastAsiaTheme="minorEastAsia"/>
          <w:lang w:val="en-US"/>
        </w:rPr>
        <w:t>.</w:t>
      </w:r>
      <w:r w:rsidR="005C704C" w:rsidRPr="005C704C">
        <w:rPr>
          <w:rFonts w:eastAsiaTheme="minorEastAsia"/>
          <w:lang w:val="en-US"/>
        </w:rPr>
        <w:t xml:space="preserve">Congenital </w:t>
      </w:r>
      <w:r w:rsidR="005C704C" w:rsidRPr="005C704C">
        <w:rPr>
          <w:rFonts w:eastAsiaTheme="minorEastAsia"/>
          <w:lang w:val="en-US"/>
        </w:rPr>
        <w:lastRenderedPageBreak/>
        <w:t>Müllerian anomalies have also been linked to a higher prevalence of endometriosis, likely due to altered menstrual outflow and increased retrograde menstruation</w:t>
      </w:r>
      <w:r w:rsidR="005C704C">
        <w:rPr>
          <w:rStyle w:val="Rimandonotadichiusura"/>
          <w:rFonts w:eastAsiaTheme="minorEastAsia"/>
          <w:lang w:val="en-US"/>
        </w:rPr>
        <w:endnoteReference w:id="195"/>
      </w:r>
      <w:r w:rsidR="009C7A19">
        <w:rPr>
          <w:rFonts w:eastAsiaTheme="minorEastAsia"/>
          <w:lang w:val="en-US"/>
        </w:rPr>
        <w:t>.</w:t>
      </w:r>
    </w:p>
    <w:p w14:paraId="1996AF1C" w14:textId="2CB4764F" w:rsidR="009910CB" w:rsidRDefault="005C704C" w:rsidP="00EF3012">
      <w:pPr>
        <w:spacing w:line="360" w:lineRule="auto"/>
        <w:jc w:val="both"/>
        <w:rPr>
          <w:rFonts w:eastAsiaTheme="minorEastAsia"/>
          <w:lang w:val="en-US"/>
        </w:rPr>
      </w:pPr>
      <w:r w:rsidRPr="005C704C">
        <w:rPr>
          <w:rFonts w:eastAsiaTheme="minorEastAsia"/>
          <w:lang w:val="en-US"/>
        </w:rPr>
        <w:t>Reproductive characteristics such as early menarche, short menstrual cycles, and heavy menstrual bleeding have consistently been associated with increased risk, as they result in prolonged lifetime exposure to menstruation and retrograde flow of endometrial cells</w:t>
      </w:r>
      <w:r>
        <w:rPr>
          <w:rStyle w:val="Rimandonotadichiusura"/>
          <w:rFonts w:eastAsiaTheme="minorEastAsia"/>
          <w:lang w:val="en-US"/>
        </w:rPr>
        <w:endnoteReference w:id="196"/>
      </w:r>
      <w:r>
        <w:rPr>
          <w:rFonts w:eastAsiaTheme="minorEastAsia"/>
          <w:lang w:val="en-US"/>
        </w:rPr>
        <w:t xml:space="preserve"> </w:t>
      </w:r>
      <w:r>
        <w:rPr>
          <w:rStyle w:val="Rimandonotadichiusura"/>
          <w:rFonts w:eastAsiaTheme="minorEastAsia"/>
          <w:lang w:val="en-US"/>
        </w:rPr>
        <w:endnoteReference w:id="197"/>
      </w:r>
      <w:r w:rsidR="009C7A19">
        <w:rPr>
          <w:rFonts w:eastAsiaTheme="minorEastAsia"/>
          <w:lang w:val="en-US"/>
        </w:rPr>
        <w:t>.</w:t>
      </w:r>
      <w:r>
        <w:rPr>
          <w:rFonts w:eastAsiaTheme="minorEastAsia"/>
          <w:lang w:val="en-US"/>
        </w:rPr>
        <w:t xml:space="preserve"> </w:t>
      </w:r>
      <w:r w:rsidRPr="005C704C">
        <w:rPr>
          <w:rFonts w:eastAsiaTheme="minorEastAsia"/>
          <w:lang w:val="en-US"/>
        </w:rPr>
        <w:t>A low body mass index has likewise been identified as a risk factor, possibly reflecting hormonal, metabolic, or inflammatory differences influencing estrogen bioavailability</w:t>
      </w:r>
      <w:r>
        <w:rPr>
          <w:rStyle w:val="Rimandonotadichiusura"/>
          <w:rFonts w:eastAsiaTheme="minorEastAsia"/>
          <w:lang w:val="en-US"/>
        </w:rPr>
        <w:endnoteReference w:id="198"/>
      </w:r>
      <w:r w:rsidR="003F4911">
        <w:rPr>
          <w:rFonts w:eastAsiaTheme="minorEastAsia"/>
          <w:lang w:val="en-US"/>
        </w:rPr>
        <w:t xml:space="preserve"> </w:t>
      </w:r>
      <w:r>
        <w:rPr>
          <w:rStyle w:val="Rimandonotadichiusura"/>
          <w:rFonts w:eastAsiaTheme="minorEastAsia"/>
          <w:lang w:val="en-US"/>
        </w:rPr>
        <w:endnoteReference w:id="199"/>
      </w:r>
      <w:r w:rsidR="009C7A19">
        <w:rPr>
          <w:rFonts w:eastAsiaTheme="minorEastAsia"/>
          <w:lang w:val="en-US"/>
        </w:rPr>
        <w:t>.</w:t>
      </w:r>
      <w:r w:rsidRPr="005C704C">
        <w:rPr>
          <w:rFonts w:eastAsiaTheme="minorEastAsia"/>
          <w:lang w:val="en-US"/>
        </w:rPr>
        <w:t xml:space="preserve"> Nulliparity represents another established risk factor, although this association may partly reflect reverse causality related to endometriosis-associated infertility</w:t>
      </w:r>
      <w:r w:rsidR="001524BA">
        <w:rPr>
          <w:rFonts w:eastAsiaTheme="minorEastAsia"/>
          <w:vertAlign w:val="superscript"/>
          <w:lang w:val="en-US"/>
        </w:rPr>
        <w:t>196 199</w:t>
      </w:r>
      <w:r w:rsidR="001524BA">
        <w:rPr>
          <w:rFonts w:eastAsiaTheme="minorEastAsia"/>
          <w:lang w:val="en-US"/>
        </w:rPr>
        <w:t>.</w:t>
      </w:r>
    </w:p>
    <w:p w14:paraId="688C8E98" w14:textId="09727D88" w:rsidR="005C704C" w:rsidRPr="005C704C" w:rsidRDefault="005C704C" w:rsidP="00EF3012">
      <w:pPr>
        <w:spacing w:line="360" w:lineRule="auto"/>
        <w:jc w:val="both"/>
        <w:rPr>
          <w:rFonts w:eastAsiaTheme="minorEastAsia"/>
          <w:lang w:val="en-US"/>
        </w:rPr>
      </w:pPr>
      <w:r w:rsidRPr="005C704C">
        <w:rPr>
          <w:rFonts w:eastAsiaTheme="minorEastAsia"/>
          <w:lang w:val="en-US"/>
        </w:rPr>
        <w:t>A strong genetic component has been demonstrated, with twin studies estimating heritability at approximately 50%, and first-degree relatives of affected women exhibiting a 3- to 15-fold increased risk of developing the disease</w:t>
      </w:r>
      <w:r>
        <w:rPr>
          <w:rStyle w:val="Rimandonotadichiusura"/>
          <w:rFonts w:eastAsiaTheme="minorEastAsia"/>
          <w:lang w:val="en-US"/>
        </w:rPr>
        <w:endnoteReference w:id="200"/>
      </w:r>
      <w:r>
        <w:rPr>
          <w:rStyle w:val="Rimandonotadichiusura"/>
          <w:rFonts w:eastAsiaTheme="minorEastAsia"/>
          <w:lang w:val="en-US"/>
        </w:rPr>
        <w:endnoteReference w:id="201"/>
      </w:r>
      <w:r w:rsidR="009C7A19">
        <w:rPr>
          <w:rFonts w:eastAsiaTheme="minorEastAsia"/>
          <w:lang w:val="en-US"/>
        </w:rPr>
        <w:t>.</w:t>
      </w:r>
      <w:r w:rsidRPr="005C704C">
        <w:rPr>
          <w:rFonts w:eastAsiaTheme="minorEastAsia"/>
          <w:lang w:val="en-US"/>
        </w:rPr>
        <w:t xml:space="preserve"> Additionally, differences in prevalence across ethnic and racial groups have been reported, with higher rates observed among Asian women and lower rates among women of African descent, although these findings may be influenced by disparities in healthcare access, diagnostic practices, and sociocultural factors</w:t>
      </w:r>
      <w:r w:rsidR="009910CB">
        <w:rPr>
          <w:rStyle w:val="Rimandonotadichiusura"/>
          <w:rFonts w:eastAsiaTheme="minorEastAsia"/>
          <w:lang w:val="en-US"/>
        </w:rPr>
        <w:endnoteReference w:id="202"/>
      </w:r>
      <w:r w:rsidR="009C7A19">
        <w:rPr>
          <w:rFonts w:eastAsiaTheme="minorEastAsia"/>
          <w:lang w:val="en-US"/>
        </w:rPr>
        <w:t>.</w:t>
      </w:r>
    </w:p>
    <w:p w14:paraId="281B5B81" w14:textId="77777777" w:rsidR="009910CB" w:rsidRPr="00D3663A" w:rsidRDefault="009910CB" w:rsidP="00EF3012">
      <w:pPr>
        <w:spacing w:line="360" w:lineRule="auto"/>
        <w:jc w:val="both"/>
        <w:rPr>
          <w:rFonts w:eastAsiaTheme="minorEastAsia"/>
          <w:i/>
          <w:iCs/>
          <w:lang w:val="en-US"/>
        </w:rPr>
      </w:pPr>
      <w:r w:rsidRPr="00D3663A">
        <w:rPr>
          <w:rFonts w:eastAsiaTheme="minorEastAsia"/>
          <w:i/>
          <w:iCs/>
          <w:lang w:val="en-US"/>
        </w:rPr>
        <w:t>Surgical Classification Systems</w:t>
      </w:r>
    </w:p>
    <w:p w14:paraId="3C92201B" w14:textId="14A44774" w:rsidR="009910CB" w:rsidRPr="009910CB" w:rsidRDefault="009910CB" w:rsidP="00EF3012">
      <w:pPr>
        <w:spacing w:line="360" w:lineRule="auto"/>
        <w:jc w:val="both"/>
        <w:rPr>
          <w:rFonts w:eastAsiaTheme="minorEastAsia"/>
          <w:lang w:val="en-US"/>
        </w:rPr>
      </w:pPr>
      <w:r w:rsidRPr="009910CB">
        <w:rPr>
          <w:rFonts w:eastAsiaTheme="minorEastAsia"/>
          <w:lang w:val="en-US"/>
        </w:rPr>
        <w:t>The revised American Society for Reproductive Medicine (rASRM) classification, last updated in 1996, remains the most widely used staging system for endometriosis worldwide</w:t>
      </w:r>
      <w:r>
        <w:rPr>
          <w:rFonts w:eastAsiaTheme="minorEastAsia"/>
          <w:lang w:val="en-US"/>
        </w:rPr>
        <w:t>.</w:t>
      </w:r>
      <w:r w:rsidRPr="009910CB">
        <w:rPr>
          <w:rFonts w:eastAsiaTheme="minorEastAsia"/>
          <w:lang w:val="en-US"/>
        </w:rPr>
        <w:t xml:space="preserve"> This system is based on intraoperative findings and assigns weighted scores according to the size and extent of peritoneal implants, ovarian endometriomas, obliteration of the posterior cul-de-sac, and the presence and severity of ovarian and tubal adhesions</w:t>
      </w:r>
      <w:r>
        <w:rPr>
          <w:rFonts w:eastAsiaTheme="minorEastAsia"/>
          <w:lang w:val="en-US"/>
        </w:rPr>
        <w:t>.</w:t>
      </w:r>
      <w:r w:rsidRPr="009910CB">
        <w:rPr>
          <w:rFonts w:eastAsiaTheme="minorEastAsia"/>
          <w:lang w:val="en-US"/>
        </w:rPr>
        <w:t xml:space="preserve"> The cumulative score determines disease stage, ranging from minimal (Stage I) to severe (Stage IV) endometriosis</w:t>
      </w:r>
      <w:r>
        <w:rPr>
          <w:rStyle w:val="Rimandonotadichiusura"/>
          <w:rFonts w:eastAsiaTheme="minorEastAsia"/>
          <w:lang w:val="en-US"/>
        </w:rPr>
        <w:endnoteReference w:id="203"/>
      </w:r>
      <w:r w:rsidR="009C7A19">
        <w:rPr>
          <w:rFonts w:eastAsiaTheme="minorEastAsia"/>
          <w:lang w:val="en-US"/>
        </w:rPr>
        <w:t>.</w:t>
      </w:r>
      <w:r w:rsidR="009D6912">
        <w:rPr>
          <w:rFonts w:eastAsiaTheme="minorEastAsia"/>
          <w:lang w:val="en-US"/>
        </w:rPr>
        <w:t xml:space="preserve"> </w:t>
      </w:r>
      <w:r w:rsidR="009D6912" w:rsidRPr="009D6912">
        <w:rPr>
          <w:rFonts w:eastAsiaTheme="minorEastAsia"/>
          <w:i/>
          <w:iCs/>
          <w:lang w:val="en-US"/>
        </w:rPr>
        <w:t>(Figure 7)</w:t>
      </w:r>
    </w:p>
    <w:p w14:paraId="4CE68725" w14:textId="775FBB49" w:rsidR="009910CB" w:rsidRPr="00BD122B" w:rsidRDefault="009910CB" w:rsidP="00EF3012">
      <w:pPr>
        <w:spacing w:line="360" w:lineRule="auto"/>
        <w:jc w:val="both"/>
        <w:rPr>
          <w:rFonts w:eastAsiaTheme="minorEastAsia"/>
          <w:lang w:val="en-US"/>
        </w:rPr>
      </w:pPr>
      <w:r w:rsidRPr="009910CB">
        <w:rPr>
          <w:rFonts w:eastAsiaTheme="minorEastAsia"/>
          <w:lang w:val="en-US"/>
        </w:rPr>
        <w:t>Although the rASRM classification is easy to apply, widely accepted, and useful for standardized surgical documentation, it has important limitations, including arbitrary scoring, interobserver variability, poor reproducibility for ovarian and cul-de-sac disease, and lack of correlation with pain severity, infertility, quality of life, or treatment outcomes</w:t>
      </w:r>
      <w:r w:rsidR="001524BA">
        <w:rPr>
          <w:rFonts w:eastAsiaTheme="minorEastAsia"/>
          <w:vertAlign w:val="superscript"/>
          <w:lang w:val="en-US"/>
        </w:rPr>
        <w:t>197</w:t>
      </w:r>
      <w:r>
        <w:rPr>
          <w:rStyle w:val="Rimandonotadichiusura"/>
          <w:rFonts w:eastAsiaTheme="minorEastAsia"/>
          <w:lang w:val="en-US"/>
        </w:rPr>
        <w:endnoteReference w:id="204"/>
      </w:r>
      <w:r w:rsidR="009C7A19">
        <w:rPr>
          <w:rFonts w:eastAsiaTheme="minorEastAsia"/>
          <w:lang w:val="en-US"/>
        </w:rPr>
        <w:t>.</w:t>
      </w:r>
      <w:r>
        <w:rPr>
          <w:rFonts w:eastAsiaTheme="minorEastAsia"/>
          <w:lang w:val="en-US"/>
        </w:rPr>
        <w:t xml:space="preserve"> </w:t>
      </w:r>
      <w:r w:rsidRPr="009910CB">
        <w:rPr>
          <w:rFonts w:eastAsiaTheme="minorEastAsia"/>
          <w:lang w:val="en-US"/>
        </w:rPr>
        <w:t>Moreover, it does not adequately describe lesion morphology or account for deep infiltrating endometriosis and retroperitoneal involvement</w:t>
      </w:r>
      <w:r w:rsidR="001524BA">
        <w:rPr>
          <w:rFonts w:eastAsiaTheme="minorEastAsia"/>
          <w:vertAlign w:val="superscript"/>
          <w:lang w:val="en-US"/>
        </w:rPr>
        <w:t>197</w:t>
      </w:r>
      <w:r w:rsidR="00C85B10">
        <w:rPr>
          <w:rFonts w:eastAsiaTheme="minorEastAsia"/>
          <w:lang w:val="en-US"/>
        </w:rPr>
        <w:t xml:space="preserve">. </w:t>
      </w:r>
    </w:p>
    <w:p w14:paraId="6F536F15" w14:textId="649268AE" w:rsidR="00EF3012" w:rsidRPr="00EF3012" w:rsidRDefault="00EF3012" w:rsidP="00EF3012">
      <w:pPr>
        <w:spacing w:line="360" w:lineRule="auto"/>
        <w:jc w:val="both"/>
        <w:rPr>
          <w:rFonts w:eastAsiaTheme="minorEastAsia"/>
          <w:lang w:val="en-US"/>
        </w:rPr>
      </w:pPr>
      <w:r w:rsidRPr="00EF3012">
        <w:rPr>
          <w:rFonts w:eastAsiaTheme="minorEastAsia"/>
          <w:lang w:val="en-US"/>
        </w:rPr>
        <w:lastRenderedPageBreak/>
        <w:t>To overcome these limitations, the ENZIAN classification was introduced in 2005 as a complementary system specifically designed to describe deep infiltrating endometriosis involving retroperitoneal structures</w:t>
      </w:r>
      <w:r>
        <w:rPr>
          <w:rStyle w:val="Rimandonotadichiusura"/>
          <w:rFonts w:eastAsiaTheme="minorEastAsia"/>
          <w:lang w:val="en-US"/>
        </w:rPr>
        <w:endnoteReference w:id="205"/>
      </w:r>
      <w:r>
        <w:rPr>
          <w:rFonts w:eastAsiaTheme="minorEastAsia"/>
          <w:lang w:val="en-US"/>
        </w:rPr>
        <w:t xml:space="preserve"> </w:t>
      </w:r>
      <w:r>
        <w:rPr>
          <w:rStyle w:val="Rimandonotadichiusura"/>
          <w:rFonts w:eastAsiaTheme="minorEastAsia"/>
          <w:lang w:val="en-US"/>
        </w:rPr>
        <w:endnoteReference w:id="206"/>
      </w:r>
      <w:r w:rsidR="00C956C5">
        <w:rPr>
          <w:rFonts w:eastAsiaTheme="minorEastAsia"/>
          <w:lang w:val="en-US"/>
        </w:rPr>
        <w:t xml:space="preserve">. </w:t>
      </w:r>
      <w:r w:rsidRPr="00EF3012">
        <w:rPr>
          <w:rFonts w:eastAsiaTheme="minorEastAsia"/>
          <w:lang w:val="en-US"/>
        </w:rPr>
        <w:t>This system divides retroperitoneal disease into three anatomical compartments</w:t>
      </w:r>
      <w:r w:rsidR="00C956C5">
        <w:rPr>
          <w:rFonts w:eastAsiaTheme="minorEastAsia"/>
          <w:lang w:val="en-US"/>
        </w:rPr>
        <w:t xml:space="preserve"> – </w:t>
      </w:r>
      <w:r w:rsidRPr="00EF3012">
        <w:rPr>
          <w:rFonts w:eastAsiaTheme="minorEastAsia"/>
          <w:lang w:val="en-US"/>
        </w:rPr>
        <w:t>A (rectovaginal septum and vagina), B (uterosacral ligaments and pelvic sidewall), and C (rectum and sigmoid colon)</w:t>
      </w:r>
      <w:r w:rsidR="00C956C5">
        <w:rPr>
          <w:rFonts w:eastAsiaTheme="minorEastAsia"/>
          <w:lang w:val="en-US"/>
        </w:rPr>
        <w:t xml:space="preserve"> – </w:t>
      </w:r>
      <w:r w:rsidRPr="00EF3012">
        <w:rPr>
          <w:rFonts w:eastAsiaTheme="minorEastAsia"/>
          <w:lang w:val="en-US"/>
        </w:rPr>
        <w:t>with lesion size graded according to depth of infiltration</w:t>
      </w:r>
      <w:r w:rsidR="001524BA">
        <w:rPr>
          <w:rFonts w:eastAsiaTheme="minorEastAsia"/>
          <w:vertAlign w:val="superscript"/>
          <w:lang w:val="en-US"/>
        </w:rPr>
        <w:t>206</w:t>
      </w:r>
      <w:r>
        <w:rPr>
          <w:rFonts w:eastAsiaTheme="minorEastAsia"/>
          <w:lang w:val="en-US"/>
        </w:rPr>
        <w:t>.</w:t>
      </w:r>
      <w:r w:rsidRPr="00EF3012">
        <w:rPr>
          <w:rFonts w:eastAsiaTheme="minorEastAsia"/>
          <w:lang w:val="en-US"/>
        </w:rPr>
        <w:t xml:space="preserve"> </w:t>
      </w:r>
    </w:p>
    <w:p w14:paraId="6ED97CA6" w14:textId="3C9B4A34" w:rsidR="00EF3012" w:rsidRDefault="00EF3012" w:rsidP="00EF3012">
      <w:pPr>
        <w:spacing w:line="360" w:lineRule="auto"/>
        <w:jc w:val="both"/>
        <w:rPr>
          <w:rFonts w:eastAsiaTheme="minorEastAsia"/>
          <w:lang w:val="en-US"/>
        </w:rPr>
      </w:pPr>
      <w:r w:rsidRPr="00EF3012">
        <w:rPr>
          <w:rFonts w:eastAsiaTheme="minorEastAsia"/>
          <w:lang w:val="en-US"/>
        </w:rPr>
        <w:t>Additional extragenital or distant lesions are recorded separately using “F” categories, and the nomenclature resembles the TNM system used in oncology</w:t>
      </w:r>
      <w:r>
        <w:rPr>
          <w:rFonts w:eastAsiaTheme="minorEastAsia"/>
          <w:lang w:val="en-US"/>
        </w:rPr>
        <w:t>.</w:t>
      </w:r>
      <w:r w:rsidRPr="00EF3012">
        <w:rPr>
          <w:rFonts w:eastAsiaTheme="minorEastAsia"/>
          <w:lang w:val="en-US"/>
        </w:rPr>
        <w:t xml:space="preserve"> The ENZIAN classification provides a more precise morphological description of deep disease and can be partially assessed preoperatively using imaging modalities</w:t>
      </w:r>
      <w:r>
        <w:rPr>
          <w:rFonts w:eastAsiaTheme="minorEastAsia"/>
          <w:lang w:val="en-US"/>
        </w:rPr>
        <w:t xml:space="preserve">. </w:t>
      </w:r>
      <w:r w:rsidRPr="00EF3012">
        <w:rPr>
          <w:rFonts w:eastAsiaTheme="minorEastAsia"/>
          <w:lang w:val="en-US"/>
        </w:rPr>
        <w:t>However, its international adoption remains limited, it is relatively complex for routine clinical use, and it has limited prognostic value for symptom progression, quality of life, or treatment response</w:t>
      </w:r>
      <w:r w:rsidR="001524BA">
        <w:rPr>
          <w:rFonts w:eastAsiaTheme="minorEastAsia"/>
          <w:vertAlign w:val="superscript"/>
          <w:lang w:val="en-US"/>
        </w:rPr>
        <w:t>206</w:t>
      </w:r>
      <w:r>
        <w:rPr>
          <w:rFonts w:eastAsiaTheme="minorEastAsia"/>
          <w:lang w:val="en-US"/>
        </w:rPr>
        <w:t xml:space="preserve">. </w:t>
      </w:r>
    </w:p>
    <w:p w14:paraId="49ED40FA" w14:textId="77777777" w:rsidR="00B2154F" w:rsidRPr="00D3663A" w:rsidRDefault="00B2154F" w:rsidP="00B2154F">
      <w:pPr>
        <w:spacing w:line="360" w:lineRule="auto"/>
        <w:jc w:val="both"/>
        <w:rPr>
          <w:rFonts w:eastAsiaTheme="minorEastAsia"/>
          <w:i/>
          <w:iCs/>
          <w:lang w:val="en-US"/>
        </w:rPr>
      </w:pPr>
      <w:r w:rsidRPr="00D3663A">
        <w:rPr>
          <w:rFonts w:eastAsiaTheme="minorEastAsia"/>
          <w:i/>
          <w:iCs/>
          <w:lang w:val="en-US"/>
        </w:rPr>
        <w:t>Endometriosis Fertility Index (EFI)</w:t>
      </w:r>
    </w:p>
    <w:p w14:paraId="2DE291EF" w14:textId="4387A5DE" w:rsidR="00B2154F" w:rsidRPr="00B2154F" w:rsidRDefault="00B2154F" w:rsidP="00B2154F">
      <w:pPr>
        <w:spacing w:line="360" w:lineRule="auto"/>
        <w:jc w:val="both"/>
        <w:rPr>
          <w:rFonts w:eastAsiaTheme="minorEastAsia"/>
          <w:lang w:val="en-US"/>
        </w:rPr>
      </w:pPr>
      <w:r w:rsidRPr="00B2154F">
        <w:rPr>
          <w:rFonts w:eastAsiaTheme="minorEastAsia"/>
          <w:lang w:val="en-US"/>
        </w:rPr>
        <w:t xml:space="preserve">The Endometriosis Fertility Index (EFI), introduced in 2010, is a validated prognostic tool designed to predict spontaneous pregnancy rates in women with surgically confirmed endometriosis who wish to conceive without assisted reproductive </w:t>
      </w:r>
      <w:r w:rsidR="0017420D" w:rsidRPr="00B2154F">
        <w:rPr>
          <w:rFonts w:eastAsiaTheme="minorEastAsia"/>
          <w:lang w:val="en-US"/>
        </w:rPr>
        <w:t>technologies</w:t>
      </w:r>
      <w:r w:rsidR="0017420D">
        <w:rPr>
          <w:rFonts w:eastAsiaTheme="minorEastAsia"/>
          <w:lang w:val="en-US"/>
        </w:rPr>
        <w:t>.</w:t>
      </w:r>
      <w:r w:rsidR="0017420D" w:rsidRPr="00B2154F">
        <w:rPr>
          <w:rFonts w:eastAsiaTheme="minorEastAsia"/>
          <w:lang w:val="en-US"/>
        </w:rPr>
        <w:t xml:space="preserve"> The</w:t>
      </w:r>
      <w:r w:rsidRPr="00B2154F">
        <w:rPr>
          <w:rFonts w:eastAsiaTheme="minorEastAsia"/>
          <w:lang w:val="en-US"/>
        </w:rPr>
        <w:t xml:space="preserve"> EFI integrates historical factors such as age, duration of infertility, and prior pregnancy history with surgical findings, including rASRM lesion scores and an assessment of postoperative tubal and ovarian function known as the least function score</w:t>
      </w:r>
      <w:r w:rsidR="0048619C">
        <w:rPr>
          <w:rStyle w:val="Rimandonotadichiusura"/>
          <w:rFonts w:eastAsiaTheme="minorEastAsia"/>
          <w:lang w:val="en-US"/>
        </w:rPr>
        <w:endnoteReference w:id="207"/>
      </w:r>
      <w:r w:rsidR="009C7A19">
        <w:rPr>
          <w:rFonts w:eastAsiaTheme="minorEastAsia"/>
          <w:lang w:val="en-US"/>
        </w:rPr>
        <w:t>.</w:t>
      </w:r>
    </w:p>
    <w:p w14:paraId="2F48EEB5" w14:textId="74531A30" w:rsidR="00B2154F" w:rsidRPr="001476B9" w:rsidRDefault="00B2154F" w:rsidP="00B2154F">
      <w:pPr>
        <w:spacing w:line="360" w:lineRule="auto"/>
        <w:jc w:val="both"/>
        <w:rPr>
          <w:rFonts w:eastAsiaTheme="minorEastAsia"/>
          <w:lang w:val="en-US"/>
        </w:rPr>
      </w:pPr>
      <w:r w:rsidRPr="00B2154F">
        <w:rPr>
          <w:rFonts w:eastAsiaTheme="minorEastAsia"/>
          <w:lang w:val="en-US"/>
        </w:rPr>
        <w:t>EFI scores range from 0 to 10 and are used to estimate cumulative pregnancy rates over time, providing valuable guidance for fertility counseling and treatment planning</w:t>
      </w:r>
      <w:r w:rsidR="0048619C">
        <w:rPr>
          <w:rFonts w:eastAsiaTheme="minorEastAsia"/>
          <w:lang w:val="en-US"/>
        </w:rPr>
        <w:t xml:space="preserve">. </w:t>
      </w:r>
      <w:r w:rsidRPr="00B2154F">
        <w:rPr>
          <w:rFonts w:eastAsiaTheme="minorEastAsia"/>
          <w:lang w:val="en-US"/>
        </w:rPr>
        <w:t>While the EFI has been externally validated in multiple populations, it does not correlate with pain symptoms, does not account for uterine factors, adenomyosis, or ovarian reserve, and does not incorporate non-mechanical mechanisms of endometriosis-associated infertility</w:t>
      </w:r>
      <w:r w:rsidR="009C7A19">
        <w:rPr>
          <w:rFonts w:eastAsiaTheme="minorEastAsia"/>
          <w:lang w:val="en-US"/>
        </w:rPr>
        <w:t>.</w:t>
      </w:r>
    </w:p>
    <w:p w14:paraId="1BFA6A5A" w14:textId="77777777" w:rsidR="00B2154F" w:rsidRPr="00D3663A" w:rsidRDefault="00B2154F" w:rsidP="00B2154F">
      <w:pPr>
        <w:spacing w:line="360" w:lineRule="auto"/>
        <w:jc w:val="both"/>
        <w:rPr>
          <w:rFonts w:eastAsiaTheme="minorEastAsia"/>
          <w:i/>
          <w:iCs/>
          <w:lang w:val="en-US"/>
        </w:rPr>
      </w:pPr>
      <w:r w:rsidRPr="00D3663A">
        <w:rPr>
          <w:rFonts w:eastAsiaTheme="minorEastAsia"/>
          <w:i/>
          <w:iCs/>
          <w:lang w:val="en-US"/>
        </w:rPr>
        <w:t>Imaging-Based Classification Systems</w:t>
      </w:r>
    </w:p>
    <w:p w14:paraId="70CEB4F1" w14:textId="47823A9B" w:rsidR="00B2154F" w:rsidRPr="00B2154F" w:rsidRDefault="00B2154F" w:rsidP="00B2154F">
      <w:pPr>
        <w:spacing w:line="360" w:lineRule="auto"/>
        <w:jc w:val="both"/>
        <w:rPr>
          <w:rFonts w:eastAsiaTheme="minorEastAsia"/>
          <w:lang w:val="en-US"/>
        </w:rPr>
      </w:pPr>
      <w:r w:rsidRPr="00B2154F">
        <w:rPr>
          <w:rFonts w:eastAsiaTheme="minorEastAsia"/>
          <w:lang w:val="en-US"/>
        </w:rPr>
        <w:t>In recent years, imaging-based staging systems have been developed to allow standardized preoperative assessment of endometriosis using transvaginal ultrasound and magnetic resonance imaging</w:t>
      </w:r>
      <w:r w:rsidR="0048619C">
        <w:rPr>
          <w:rFonts w:eastAsiaTheme="minorEastAsia"/>
          <w:lang w:val="en-US"/>
        </w:rPr>
        <w:t>.</w:t>
      </w:r>
      <w:r w:rsidRPr="00B2154F">
        <w:rPr>
          <w:rFonts w:eastAsiaTheme="minorEastAsia"/>
          <w:lang w:val="en-US"/>
        </w:rPr>
        <w:t xml:space="preserve"> Among these, the International Deep Endometriosis Analysis (IDEA) consensus proposes a systematic four-step ultrasound approach for evaluating pelvic compartments</w:t>
      </w:r>
      <w:r w:rsidR="0048619C">
        <w:rPr>
          <w:rFonts w:eastAsiaTheme="minorEastAsia"/>
          <w:lang w:val="en-US"/>
        </w:rPr>
        <w:t xml:space="preserve">. </w:t>
      </w:r>
      <w:r w:rsidRPr="00B2154F">
        <w:rPr>
          <w:rFonts w:eastAsiaTheme="minorEastAsia"/>
          <w:lang w:val="en-US"/>
        </w:rPr>
        <w:t xml:space="preserve">Other systems, including the Ultrasound-Based </w:t>
      </w:r>
      <w:r w:rsidRPr="00B2154F">
        <w:rPr>
          <w:rFonts w:eastAsiaTheme="minorEastAsia"/>
          <w:lang w:val="en-US"/>
        </w:rPr>
        <w:lastRenderedPageBreak/>
        <w:t>Endometriosis Staging System (UBESS) and the Endometriosis Surgical–Ultrasonographic System (ESUS), aim to predict surgical complexity and guide operative planning</w:t>
      </w:r>
      <w:r w:rsidR="0048619C">
        <w:rPr>
          <w:rStyle w:val="Rimandonotadichiusura"/>
          <w:rFonts w:eastAsiaTheme="minorEastAsia"/>
          <w:lang w:val="en-US"/>
        </w:rPr>
        <w:endnoteReference w:id="208"/>
      </w:r>
      <w:r w:rsidR="009C7A19">
        <w:rPr>
          <w:rFonts w:eastAsiaTheme="minorEastAsia"/>
          <w:lang w:val="en-US"/>
        </w:rPr>
        <w:t>.</w:t>
      </w:r>
    </w:p>
    <w:p w14:paraId="45006EDF" w14:textId="222B7A62" w:rsidR="00B2154F" w:rsidRDefault="00B2154F" w:rsidP="00B2154F">
      <w:pPr>
        <w:spacing w:line="360" w:lineRule="auto"/>
        <w:jc w:val="both"/>
        <w:rPr>
          <w:rFonts w:eastAsiaTheme="minorEastAsia"/>
          <w:lang w:val="en-US"/>
        </w:rPr>
      </w:pPr>
      <w:r w:rsidRPr="00B2154F">
        <w:rPr>
          <w:rFonts w:eastAsiaTheme="minorEastAsia"/>
          <w:lang w:val="en-US"/>
        </w:rPr>
        <w:t>Additional scoring systems, such as ENDORECT, combine ultrasound and MRI findings to estimate the risk of rectosigmoid involvement</w:t>
      </w:r>
      <w:r w:rsidR="0048619C">
        <w:rPr>
          <w:rFonts w:eastAsiaTheme="minorEastAsia"/>
          <w:lang w:val="en-US"/>
        </w:rPr>
        <w:t>.</w:t>
      </w:r>
      <w:r w:rsidRPr="00B2154F">
        <w:rPr>
          <w:rFonts w:eastAsiaTheme="minorEastAsia"/>
          <w:lang w:val="en-US"/>
        </w:rPr>
        <w:t xml:space="preserve"> These approaches represent an important shift toward non-invasive, preoperative disease mapping and personalized surgical planning</w:t>
      </w:r>
      <w:r w:rsidR="00D3663A">
        <w:rPr>
          <w:rStyle w:val="Rimandonotadichiusura"/>
          <w:rFonts w:eastAsiaTheme="minorEastAsia"/>
          <w:lang w:val="en-US"/>
        </w:rPr>
        <w:endnoteReference w:id="209"/>
      </w:r>
      <w:r w:rsidR="003F4911">
        <w:rPr>
          <w:rFonts w:eastAsiaTheme="minorEastAsia"/>
          <w:lang w:val="en-US"/>
        </w:rPr>
        <w:t>.</w:t>
      </w:r>
    </w:p>
    <w:p w14:paraId="0CFF976D" w14:textId="31BD8985" w:rsidR="00B2154F" w:rsidRPr="009D4E82" w:rsidRDefault="008D7D96" w:rsidP="00B2154F">
      <w:pPr>
        <w:spacing w:line="360" w:lineRule="auto"/>
        <w:jc w:val="both"/>
        <w:rPr>
          <w:lang w:val="en-US"/>
        </w:rPr>
      </w:pPr>
      <w:r>
        <w:fldChar w:fldCharType="begin"/>
      </w:r>
      <w:r w:rsidRPr="009D4E82">
        <w:rPr>
          <w:lang w:val="en-US"/>
        </w:rPr>
        <w:instrText xml:space="preserve"> INCLUDEPICTURE "https://www.mdpi.com/ijms/ijms-22-05644/article_deploy/html/images/ijms-22-05644-g001.png" \* MERGEFORMATINET </w:instrText>
      </w:r>
      <w:r>
        <w:fldChar w:fldCharType="separate"/>
      </w:r>
      <w:r>
        <w:rPr>
          <w:noProof/>
        </w:rPr>
        <mc:AlternateContent>
          <mc:Choice Requires="wps">
            <w:drawing>
              <wp:inline distT="0" distB="0" distL="0" distR="0" wp14:anchorId="5A91D0D5" wp14:editId="06E8CC12">
                <wp:extent cx="302260" cy="302260"/>
                <wp:effectExtent l="0" t="0" r="0" b="0"/>
                <wp:docPr id="1816032078" name="Rettangolo 4" descr="Intricate Connections between the Microbiota and Endometrios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854090A" id="Rettangolo 4" o:spid="_x0000_s1026" alt="Intricate Connections between the Microbiota and Endometriosi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" filled="f" stroked="f">
                <o:lock v:ext="edit" aspectratio="t"/>
                <w10:anchorlock/>
              </v:rect>
            </w:pict>
          </mc:Fallback>
        </mc:AlternateContent>
      </w:r>
      <w:r>
        <w:fldChar w:fldCharType="end"/>
      </w:r>
      <w:r w:rsidRPr="009D4E82">
        <w:rPr>
          <w:lang w:val="en-US"/>
        </w:rPr>
        <w:t xml:space="preserve"> </w:t>
      </w:r>
      <w:r>
        <w:fldChar w:fldCharType="begin"/>
      </w:r>
      <w:r w:rsidRPr="009D4E82">
        <w:rPr>
          <w:lang w:val="en-US"/>
        </w:rPr>
        <w:instrText xml:space="preserve"> INCLUDEPICTURE "https://www.mdpi.com/ijms/ijms-22-05644/article_deploy/html/images/ijms-22-05644-g001.png" \* MERGEFORMATINET </w:instrText>
      </w:r>
      <w:r>
        <w:fldChar w:fldCharType="separate"/>
      </w:r>
      <w:r>
        <w:rPr>
          <w:noProof/>
        </w:rPr>
        <mc:AlternateContent>
          <mc:Choice Requires="wps">
            <w:drawing>
              <wp:inline distT="0" distB="0" distL="0" distR="0" wp14:anchorId="3CE0725A" wp14:editId="10B6B6DA">
                <wp:extent cx="302260" cy="302260"/>
                <wp:effectExtent l="0" t="0" r="0" b="0"/>
                <wp:docPr id="595743657" name="Rettangolo 5" descr="Intricate Connections between the Microbiota and Endometrios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01F768C" id="Rettangolo 5" o:spid="_x0000_s1026" alt="Intricate Connections between the Microbiota and Endometriosi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" filled="f" stroked="f">
                <o:lock v:ext="edit" aspectratio="t"/>
                <w10:anchorlock/>
              </v:rect>
            </w:pict>
          </mc:Fallback>
        </mc:AlternateContent>
      </w:r>
      <w:r>
        <w:fldChar w:fldCharType="end"/>
      </w:r>
      <w:r w:rsidR="003212CB">
        <w:rPr>
          <w:rFonts w:eastAsiaTheme="minorEastAsia"/>
          <w:noProof/>
          <w:lang w:val="en-US"/>
        </w:rPr>
        <w:drawing>
          <wp:inline distT="0" distB="0" distL="0" distR="0" wp14:anchorId="4F517D1F" wp14:editId="7F41C32E">
            <wp:extent cx="5191125" cy="3136232"/>
            <wp:effectExtent l="0" t="0" r="3175" b="1270"/>
            <wp:docPr id="1804188939" name="Immagine 7" descr="Immagine che contiene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88939" name="Immagine 7" descr="Immagine che contiene testo, schermata&#10;&#10;Descrizione generata automaticamente"/>
                    <pic:cNvPicPr/>
                  </pic:nvPicPr>
                  <pic:blipFill rotWithShape="1">
                    <a:blip r:embed="rId16"/>
                    <a:srcRect b="1751"/>
                    <a:stretch/>
                  </pic:blipFill>
                  <pic:spPr bwMode="auto">
                    <a:xfrm>
                      <a:off x="0" y="0"/>
                      <a:ext cx="5200313" cy="3141783"/>
                    </a:xfrm>
                    <a:prstGeom prst="rect">
                      <a:avLst/>
                    </a:prstGeom>
                    <a:ln>
                      <a:noFill/>
                    </a:ln>
                    <a:extLst>
                      <a:ext uri="{53640926-AAD7-44D8-BBD7-CCE9431645EC}">
                        <a14:shadowObscured xmlns:a14="http://schemas.microsoft.com/office/drawing/2010/main"/>
                      </a:ext>
                    </a:extLst>
                  </pic:spPr>
                </pic:pic>
              </a:graphicData>
            </a:graphic>
          </wp:inline>
        </w:drawing>
      </w:r>
    </w:p>
    <w:p w14:paraId="1A9CFF99" w14:textId="77777777" w:rsidR="009D6912" w:rsidRPr="009D4E82" w:rsidRDefault="009D6912" w:rsidP="00B2154F">
      <w:pPr>
        <w:spacing w:line="360" w:lineRule="auto"/>
        <w:jc w:val="both"/>
        <w:rPr>
          <w:lang w:val="en-US"/>
        </w:rPr>
      </w:pPr>
    </w:p>
    <w:p w14:paraId="7D3C14A2" w14:textId="77777777" w:rsidR="003F4911" w:rsidRDefault="009D6912" w:rsidP="009D6912">
      <w:pPr>
        <w:jc w:val="both"/>
        <w:rPr>
          <w:b/>
          <w:bCs/>
          <w:sz w:val="18"/>
          <w:szCs w:val="18"/>
          <w:lang w:val="en-US"/>
        </w:rPr>
      </w:pPr>
      <w:r w:rsidRPr="009D6912">
        <w:rPr>
          <w:b/>
          <w:bCs/>
          <w:sz w:val="18"/>
          <w:szCs w:val="18"/>
          <w:lang w:val="en-US"/>
        </w:rPr>
        <w:t xml:space="preserve">Figure </w:t>
      </w:r>
      <w:r>
        <w:rPr>
          <w:b/>
          <w:bCs/>
          <w:sz w:val="18"/>
          <w:szCs w:val="18"/>
          <w:lang w:val="en-US"/>
        </w:rPr>
        <w:t>6</w:t>
      </w:r>
      <w:r w:rsidRPr="009D6912">
        <w:rPr>
          <w:b/>
          <w:bCs/>
          <w:sz w:val="18"/>
          <w:szCs w:val="18"/>
          <w:lang w:val="en-US"/>
        </w:rPr>
        <w:t>. Schematic representation of the main pathogenic mechanisms involved in endometriosis.</w:t>
      </w:r>
    </w:p>
    <w:p w14:paraId="2D562976" w14:textId="04F08DC1" w:rsidR="009D6912" w:rsidRPr="009D6912" w:rsidRDefault="009D6912" w:rsidP="009D6912">
      <w:pPr>
        <w:jc w:val="both"/>
        <w:rPr>
          <w:sz w:val="18"/>
          <w:szCs w:val="18"/>
          <w:lang w:val="en-US"/>
        </w:rPr>
      </w:pPr>
      <w:r w:rsidRPr="009D6912">
        <w:rPr>
          <w:sz w:val="18"/>
          <w:szCs w:val="18"/>
          <w:lang w:val="en-US"/>
        </w:rPr>
        <w:t>The figure illustrates key processes underlying endometriosis development, including retrograde menstruation, immune response evasion, inflammatory cytokine release, oxidative stress, altered cell adhesion and invasion, and angiogenesis supporting ectopic lesion growth.</w:t>
      </w:r>
    </w:p>
    <w:p w14:paraId="33E8BC8F" w14:textId="77777777" w:rsidR="009D6912" w:rsidRDefault="009D6912" w:rsidP="00B2154F">
      <w:pPr>
        <w:spacing w:line="360" w:lineRule="auto"/>
        <w:jc w:val="both"/>
        <w:rPr>
          <w:rFonts w:eastAsiaTheme="minorEastAsia"/>
          <w:lang w:val="en-US"/>
        </w:rPr>
      </w:pPr>
    </w:p>
    <w:p w14:paraId="65FBE67F" w14:textId="77777777" w:rsidR="006327D7" w:rsidRDefault="006327D7" w:rsidP="006327D7">
      <w:pPr>
        <w:rPr>
          <w:rFonts w:eastAsiaTheme="minorEastAsia"/>
          <w:b/>
          <w:bCs/>
          <w:sz w:val="18"/>
          <w:szCs w:val="18"/>
          <w:lang w:val="en-US"/>
        </w:rPr>
      </w:pPr>
      <w:r>
        <w:rPr>
          <w:rFonts w:eastAsiaTheme="minorEastAsia"/>
          <w:noProof/>
          <w:lang w:val="en-US"/>
        </w:rPr>
        <w:lastRenderedPageBreak/>
        <w:drawing>
          <wp:inline distT="0" distB="0" distL="0" distR="0" wp14:anchorId="415F17F2" wp14:editId="321C634A">
            <wp:extent cx="2425019" cy="3553326"/>
            <wp:effectExtent l="0" t="0" r="1270" b="3175"/>
            <wp:docPr id="159181385" name="Immagine 15" descr="Immagine che contiene test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81385" name="Immagine 15" descr="Immagine che contiene testo, design&#10;&#10;Descrizione generata automaticamente"/>
                    <pic:cNvPicPr/>
                  </pic:nvPicPr>
                  <pic:blipFill>
                    <a:blip r:embed="rId17"/>
                    <a:stretch>
                      <a:fillRect/>
                    </a:stretch>
                  </pic:blipFill>
                  <pic:spPr>
                    <a:xfrm>
                      <a:off x="0" y="0"/>
                      <a:ext cx="2425019" cy="3553326"/>
                    </a:xfrm>
                    <a:prstGeom prst="rect">
                      <a:avLst/>
                    </a:prstGeom>
                  </pic:spPr>
                </pic:pic>
              </a:graphicData>
            </a:graphic>
          </wp:inline>
        </w:drawing>
      </w:r>
    </w:p>
    <w:p w14:paraId="3BF6FA9C" w14:textId="77777777" w:rsidR="006327D7" w:rsidRDefault="006327D7" w:rsidP="006327D7">
      <w:pPr>
        <w:rPr>
          <w:rFonts w:eastAsiaTheme="minorEastAsia"/>
          <w:b/>
          <w:bCs/>
          <w:sz w:val="18"/>
          <w:szCs w:val="18"/>
          <w:lang w:val="en-US"/>
        </w:rPr>
      </w:pPr>
    </w:p>
    <w:p w14:paraId="5CB138F7" w14:textId="77777777" w:rsidR="003F4911" w:rsidRDefault="006327D7" w:rsidP="003F4911">
      <w:pPr>
        <w:jc w:val="both"/>
        <w:rPr>
          <w:rFonts w:eastAsiaTheme="minorEastAsia"/>
          <w:b/>
          <w:bCs/>
          <w:sz w:val="18"/>
          <w:szCs w:val="18"/>
          <w:lang w:val="en-US"/>
        </w:rPr>
      </w:pPr>
      <w:r w:rsidRPr="006327D7">
        <w:rPr>
          <w:rFonts w:eastAsiaTheme="minorEastAsia"/>
          <w:b/>
          <w:bCs/>
          <w:sz w:val="18"/>
          <w:szCs w:val="18"/>
          <w:lang w:val="en-US"/>
        </w:rPr>
        <w:t xml:space="preserve">Figure </w:t>
      </w:r>
      <w:r>
        <w:rPr>
          <w:rFonts w:eastAsiaTheme="minorEastAsia"/>
          <w:b/>
          <w:bCs/>
          <w:sz w:val="18"/>
          <w:szCs w:val="18"/>
          <w:lang w:val="en-US"/>
        </w:rPr>
        <w:t>7</w:t>
      </w:r>
      <w:r w:rsidRPr="006327D7">
        <w:rPr>
          <w:rFonts w:eastAsiaTheme="minorEastAsia"/>
          <w:b/>
          <w:bCs/>
          <w:sz w:val="18"/>
          <w:szCs w:val="18"/>
          <w:lang w:val="en-US"/>
        </w:rPr>
        <w:t>. Classification of endometriosis into four stages.</w:t>
      </w:r>
    </w:p>
    <w:p w14:paraId="61C7E861" w14:textId="15E34515" w:rsidR="009D6912" w:rsidRPr="003F4911" w:rsidRDefault="00116C77" w:rsidP="003F4911">
      <w:pPr>
        <w:jc w:val="both"/>
        <w:rPr>
          <w:rFonts w:eastAsiaTheme="minorEastAsia"/>
          <w:b/>
          <w:bCs/>
          <w:sz w:val="18"/>
          <w:szCs w:val="18"/>
          <w:lang w:val="en-US"/>
        </w:rPr>
      </w:pPr>
      <w:r w:rsidRPr="00116C77">
        <w:rPr>
          <w:rFonts w:eastAsiaTheme="minorEastAsia"/>
          <w:sz w:val="18"/>
          <w:szCs w:val="18"/>
          <w:lang w:val="en-US"/>
        </w:rPr>
        <w:t>The four-stage classification illustrated corresponds to a simplified representation of the revised American Society for Reproductive Medicine (rASRM) staging system, which is based on intraoperative findings and is used for postoperative disease staging rather than for diagnostic purposes.</w:t>
      </w:r>
    </w:p>
    <w:p w14:paraId="66C45F19" w14:textId="77777777" w:rsidR="006327D7" w:rsidRDefault="006327D7" w:rsidP="006327D7">
      <w:pPr>
        <w:rPr>
          <w:rFonts w:eastAsiaTheme="minorEastAsia"/>
          <w:sz w:val="18"/>
          <w:szCs w:val="18"/>
          <w:lang w:val="en-US"/>
        </w:rPr>
      </w:pPr>
    </w:p>
    <w:p w14:paraId="01F507AD" w14:textId="77777777" w:rsidR="000D4C09" w:rsidRPr="006327D7" w:rsidRDefault="000D4C09" w:rsidP="006327D7">
      <w:pPr>
        <w:rPr>
          <w:rFonts w:eastAsiaTheme="minorEastAsia"/>
          <w:sz w:val="18"/>
          <w:szCs w:val="18"/>
          <w:lang w:val="en-US"/>
        </w:rPr>
      </w:pPr>
    </w:p>
    <w:p w14:paraId="55D14A8C" w14:textId="183C0A4A" w:rsidR="00D3663A" w:rsidRPr="000D4C09" w:rsidRDefault="00290211" w:rsidP="000D4C09">
      <w:pPr>
        <w:pStyle w:val="Titolo3"/>
        <w:spacing w:line="360" w:lineRule="auto"/>
        <w:rPr>
          <w:rFonts w:eastAsiaTheme="minorEastAsia"/>
          <w:i/>
          <w:iCs/>
          <w:sz w:val="28"/>
          <w:szCs w:val="28"/>
          <w:lang w:val="en-US"/>
        </w:rPr>
      </w:pPr>
      <w:bookmarkStart w:id="21" w:name="_Toc219243285"/>
      <w:r w:rsidRPr="000D4C09">
        <w:rPr>
          <w:rFonts w:eastAsiaTheme="minorEastAsia"/>
          <w:i/>
          <w:iCs/>
          <w:sz w:val="28"/>
          <w:szCs w:val="28"/>
          <w:lang w:val="en-US"/>
        </w:rPr>
        <w:t>1.2.</w:t>
      </w:r>
      <w:r w:rsidR="000D4C09" w:rsidRPr="000D4C09">
        <w:rPr>
          <w:rFonts w:eastAsiaTheme="minorEastAsia"/>
          <w:i/>
          <w:iCs/>
          <w:sz w:val="28"/>
          <w:szCs w:val="28"/>
          <w:lang w:val="en-US"/>
        </w:rPr>
        <w:t>2</w:t>
      </w:r>
      <w:r w:rsidRPr="000D4C09">
        <w:rPr>
          <w:rFonts w:eastAsiaTheme="minorEastAsia"/>
          <w:i/>
          <w:iCs/>
          <w:sz w:val="28"/>
          <w:szCs w:val="28"/>
          <w:lang w:val="en-US"/>
        </w:rPr>
        <w:t>.</w:t>
      </w:r>
      <w:r w:rsidR="000D4C09" w:rsidRPr="000D4C09">
        <w:rPr>
          <w:rFonts w:eastAsiaTheme="minorEastAsia"/>
          <w:i/>
          <w:iCs/>
          <w:sz w:val="28"/>
          <w:szCs w:val="28"/>
          <w:lang w:val="en-US"/>
        </w:rPr>
        <w:t>2</w:t>
      </w:r>
      <w:r w:rsidRPr="000D4C09">
        <w:rPr>
          <w:rFonts w:eastAsiaTheme="minorEastAsia"/>
          <w:i/>
          <w:iCs/>
          <w:sz w:val="28"/>
          <w:szCs w:val="28"/>
          <w:lang w:val="en-US"/>
        </w:rPr>
        <w:t xml:space="preserve"> </w:t>
      </w:r>
      <w:r w:rsidR="00D3663A" w:rsidRPr="000D4C09">
        <w:rPr>
          <w:rFonts w:eastAsiaTheme="minorEastAsia"/>
          <w:i/>
          <w:iCs/>
          <w:sz w:val="28"/>
          <w:szCs w:val="28"/>
          <w:lang w:val="en-US"/>
        </w:rPr>
        <w:t>Clinical Subtypes, Diagnosis, and Symptomatology</w:t>
      </w:r>
      <w:bookmarkEnd w:id="21"/>
    </w:p>
    <w:p w14:paraId="41C9032A" w14:textId="14A6C4EA" w:rsidR="00B2154F" w:rsidRPr="00B2154F" w:rsidRDefault="00B2154F" w:rsidP="000D4C09">
      <w:pPr>
        <w:spacing w:line="360" w:lineRule="auto"/>
        <w:jc w:val="both"/>
        <w:rPr>
          <w:rFonts w:eastAsiaTheme="minorEastAsia"/>
          <w:lang w:val="en-US"/>
        </w:rPr>
      </w:pPr>
      <w:r w:rsidRPr="00B2154F">
        <w:rPr>
          <w:rFonts w:eastAsiaTheme="minorEastAsia"/>
          <w:lang w:val="en-US"/>
        </w:rPr>
        <w:t>Endometriosis manifests in three main pelvic phenotypes that frequently coexist within the same patient</w:t>
      </w:r>
      <w:r>
        <w:rPr>
          <w:rFonts w:eastAsiaTheme="minorEastAsia"/>
          <w:lang w:val="en-US"/>
        </w:rPr>
        <w:t>:</w:t>
      </w:r>
      <w:r w:rsidRPr="00B2154F">
        <w:rPr>
          <w:rFonts w:eastAsiaTheme="minorEastAsia"/>
          <w:lang w:val="en-US"/>
        </w:rPr>
        <w:t xml:space="preserve"> Superficial peritoneal endometriosis</w:t>
      </w:r>
      <w:r>
        <w:rPr>
          <w:rFonts w:eastAsiaTheme="minorEastAsia"/>
          <w:lang w:val="en-US"/>
        </w:rPr>
        <w:t>, o</w:t>
      </w:r>
      <w:r w:rsidRPr="00B2154F">
        <w:rPr>
          <w:rFonts w:eastAsiaTheme="minorEastAsia"/>
          <w:lang w:val="en-US"/>
        </w:rPr>
        <w:t>varian endometriomas</w:t>
      </w:r>
      <w:r>
        <w:rPr>
          <w:rFonts w:eastAsiaTheme="minorEastAsia"/>
          <w:lang w:val="en-US"/>
        </w:rPr>
        <w:t>, d</w:t>
      </w:r>
      <w:r w:rsidRPr="00B2154F">
        <w:rPr>
          <w:rFonts w:eastAsiaTheme="minorEastAsia"/>
          <w:lang w:val="en-US"/>
        </w:rPr>
        <w:t>eep infiltrating endometriosis</w:t>
      </w:r>
      <w:r>
        <w:rPr>
          <w:rFonts w:eastAsiaTheme="minorEastAsia"/>
          <w:lang w:val="en-US"/>
        </w:rPr>
        <w:t xml:space="preserve"> and </w:t>
      </w:r>
      <w:r w:rsidRPr="00B2154F">
        <w:rPr>
          <w:rFonts w:eastAsiaTheme="minorEastAsia"/>
          <w:lang w:val="en-US"/>
        </w:rPr>
        <w:t xml:space="preserve">extraperitoneal </w:t>
      </w:r>
      <w:r>
        <w:rPr>
          <w:rFonts w:eastAsiaTheme="minorEastAsia"/>
          <w:lang w:val="en-US"/>
        </w:rPr>
        <w:t>e</w:t>
      </w:r>
      <w:r w:rsidRPr="00B2154F">
        <w:rPr>
          <w:rFonts w:eastAsiaTheme="minorEastAsia"/>
          <w:lang w:val="en-US"/>
        </w:rPr>
        <w:t xml:space="preserve">ndometriosis </w:t>
      </w:r>
      <w:r w:rsidR="001524BA" w:rsidRPr="001524BA">
        <w:rPr>
          <w:rFonts w:eastAsiaTheme="minorEastAsia"/>
          <w:vertAlign w:val="superscript"/>
          <w:lang w:val="en-US"/>
        </w:rPr>
        <w:t>196</w:t>
      </w:r>
      <w:r w:rsidR="00711011" w:rsidRPr="009C7A19">
        <w:rPr>
          <w:rFonts w:eastAsiaTheme="minorEastAsia"/>
          <w:lang w:val="en-US"/>
        </w:rPr>
        <w:t xml:space="preserve"> </w:t>
      </w:r>
      <w:r w:rsidR="00711011" w:rsidRPr="009C7A19">
        <w:rPr>
          <w:rStyle w:val="Rimandonotadichiusura"/>
          <w:rFonts w:eastAsiaTheme="minorEastAsia"/>
          <w:lang w:val="en-US"/>
        </w:rPr>
        <w:endnoteReference w:id="210"/>
      </w:r>
      <w:r w:rsidR="009C7A19" w:rsidRPr="009C7A19">
        <w:rPr>
          <w:rFonts w:eastAsiaTheme="minorEastAsia"/>
          <w:lang w:val="en-US"/>
        </w:rPr>
        <w:t>.</w:t>
      </w:r>
      <w:r w:rsidR="009C7A19">
        <w:rPr>
          <w:rFonts w:eastAsiaTheme="minorEastAsia"/>
          <w:b/>
          <w:bCs/>
          <w:lang w:val="en-US"/>
        </w:rPr>
        <w:t xml:space="preserve"> </w:t>
      </w:r>
      <w:r w:rsidR="006327D7" w:rsidRPr="006327D7">
        <w:rPr>
          <w:rFonts w:eastAsiaTheme="minorEastAsia"/>
          <w:i/>
          <w:iCs/>
          <w:lang w:val="en-US"/>
        </w:rPr>
        <w:t>(Figure 8)</w:t>
      </w:r>
      <w:r w:rsidR="006327D7">
        <w:rPr>
          <w:rFonts w:eastAsiaTheme="minorEastAsia"/>
          <w:b/>
          <w:bCs/>
          <w:lang w:val="en-US"/>
        </w:rPr>
        <w:t xml:space="preserve"> </w:t>
      </w:r>
      <w:r w:rsidRPr="00B2154F">
        <w:rPr>
          <w:rFonts w:eastAsiaTheme="minorEastAsia"/>
          <w:lang w:val="en-US"/>
        </w:rPr>
        <w:t>Superficial peritoneal endometriosis is the most common subtype and is characterized by lesions confined to the peritoneal surface with a depth of less than 5 mm</w:t>
      </w:r>
      <w:r w:rsidR="001524BA">
        <w:rPr>
          <w:rFonts w:eastAsiaTheme="minorEastAsia"/>
          <w:vertAlign w:val="superscript"/>
          <w:lang w:val="en-US"/>
        </w:rPr>
        <w:t>187</w:t>
      </w:r>
      <w:r w:rsidR="001524BA">
        <w:rPr>
          <w:rFonts w:eastAsiaTheme="minorEastAsia"/>
          <w:lang w:val="en-US"/>
        </w:rPr>
        <w:t>.</w:t>
      </w:r>
      <w:r w:rsidRPr="00B2154F">
        <w:rPr>
          <w:rFonts w:eastAsiaTheme="minorEastAsia"/>
          <w:lang w:val="en-US"/>
        </w:rPr>
        <w:t>These lesions may appear as clear, white, red, or dark pigmented implants and are often difficult to detect using non-invasive imaging, requiring laparoscopic visualization for diagnosis</w:t>
      </w:r>
      <w:r w:rsidR="001524BA">
        <w:rPr>
          <w:rFonts w:eastAsiaTheme="minorEastAsia"/>
          <w:vertAlign w:val="superscript"/>
          <w:lang w:val="en-US"/>
        </w:rPr>
        <w:t>18</w:t>
      </w:r>
      <w:r w:rsidR="00711011" w:rsidRPr="009C7A19">
        <w:rPr>
          <w:rStyle w:val="Rimandonotadichiusura"/>
          <w:rFonts w:eastAsiaTheme="minorEastAsia"/>
          <w:lang w:val="en-US"/>
        </w:rPr>
        <w:endnoteReference w:id="211"/>
      </w:r>
      <w:r w:rsidR="009C7A19" w:rsidRPr="009C7A19">
        <w:rPr>
          <w:rFonts w:eastAsiaTheme="minorEastAsia"/>
          <w:lang w:val="en-US"/>
        </w:rPr>
        <w:t>.</w:t>
      </w:r>
      <w:r w:rsidR="00940707" w:rsidRPr="00940707">
        <w:rPr>
          <w:rFonts w:eastAsiaTheme="minorEastAsia"/>
          <w:b/>
          <w:bCs/>
          <w:highlight w:val="cyan"/>
          <w:lang w:val="en-US"/>
        </w:rPr>
        <w:t xml:space="preserve"> </w:t>
      </w:r>
    </w:p>
    <w:p w14:paraId="578B337B" w14:textId="4CAB33FA" w:rsidR="00B2154F" w:rsidRPr="00B2154F" w:rsidRDefault="00B2154F" w:rsidP="00B2154F">
      <w:pPr>
        <w:spacing w:line="360" w:lineRule="auto"/>
        <w:jc w:val="both"/>
        <w:rPr>
          <w:rFonts w:eastAsiaTheme="minorEastAsia"/>
          <w:lang w:val="en-US"/>
        </w:rPr>
      </w:pPr>
      <w:r w:rsidRPr="00B2154F">
        <w:rPr>
          <w:rFonts w:eastAsiaTheme="minorEastAsia"/>
          <w:lang w:val="en-US"/>
        </w:rPr>
        <w:t>Ovarian endometriomas are cystic lesions containing ectopic endometrial tissue and hemosiderin-rich fluid, commonly referred to as “chocolate cysts,” and are frequently associated with deep infiltrating disease</w:t>
      </w:r>
      <w:r w:rsidR="00711011">
        <w:rPr>
          <w:rStyle w:val="Rimandonotadichiusura"/>
          <w:rFonts w:eastAsiaTheme="minorEastAsia"/>
          <w:lang w:val="en-US"/>
        </w:rPr>
        <w:endnoteReference w:id="212"/>
      </w:r>
      <w:r w:rsidR="00101D71">
        <w:rPr>
          <w:rFonts w:eastAsiaTheme="minorEastAsia"/>
          <w:lang w:val="en-US"/>
        </w:rPr>
        <w:t xml:space="preserve">. </w:t>
      </w:r>
      <w:r w:rsidRPr="00B2154F">
        <w:rPr>
          <w:rFonts w:eastAsiaTheme="minorEastAsia"/>
          <w:lang w:val="en-US"/>
        </w:rPr>
        <w:t>They rarely regress spontaneously and generally require surgical management when symptomatic or large, although conservative monitoring may be appropriate in selected cases</w:t>
      </w:r>
      <w:r w:rsidR="001524BA">
        <w:rPr>
          <w:rFonts w:eastAsiaTheme="minorEastAsia"/>
          <w:vertAlign w:val="superscript"/>
          <w:lang w:val="en-US"/>
        </w:rPr>
        <w:t>212</w:t>
      </w:r>
      <w:r w:rsidR="00711011">
        <w:rPr>
          <w:rStyle w:val="Rimandonotadichiusura"/>
          <w:rFonts w:eastAsiaTheme="minorEastAsia"/>
          <w:lang w:val="en-US"/>
        </w:rPr>
        <w:endnoteReference w:id="213"/>
      </w:r>
      <w:r w:rsidR="009C7A19">
        <w:rPr>
          <w:rFonts w:eastAsiaTheme="minorEastAsia"/>
          <w:lang w:val="en-US"/>
        </w:rPr>
        <w:t>.</w:t>
      </w:r>
      <w:r w:rsidR="006327D7">
        <w:rPr>
          <w:rFonts w:eastAsiaTheme="minorEastAsia"/>
          <w:lang w:val="en-US"/>
        </w:rPr>
        <w:t xml:space="preserve"> </w:t>
      </w:r>
    </w:p>
    <w:p w14:paraId="1242CBA1" w14:textId="4ADDF8F1" w:rsidR="00B2154F" w:rsidRPr="00B2154F" w:rsidRDefault="00B2154F" w:rsidP="00B2154F">
      <w:pPr>
        <w:spacing w:line="360" w:lineRule="auto"/>
        <w:jc w:val="both"/>
        <w:rPr>
          <w:rFonts w:eastAsiaTheme="minorEastAsia"/>
          <w:lang w:val="en-US"/>
        </w:rPr>
      </w:pPr>
      <w:r w:rsidRPr="00B2154F">
        <w:rPr>
          <w:rFonts w:eastAsiaTheme="minorEastAsia"/>
          <w:lang w:val="en-US"/>
        </w:rPr>
        <w:t>Deep infiltrating endometriosis is defined by lesions penetrating at least 5 mm beneath the peritoneal surface and represents the most severe disease phenotype</w:t>
      </w:r>
      <w:r w:rsidR="001524BA">
        <w:rPr>
          <w:rFonts w:eastAsiaTheme="minorEastAsia"/>
          <w:vertAlign w:val="superscript"/>
          <w:lang w:val="en-US"/>
        </w:rPr>
        <w:t>187</w:t>
      </w:r>
      <w:r w:rsidR="00077A44">
        <w:rPr>
          <w:rFonts w:eastAsiaTheme="minorEastAsia"/>
          <w:lang w:val="en-US"/>
        </w:rPr>
        <w:t>.</w:t>
      </w:r>
      <w:r w:rsidRPr="00B2154F">
        <w:rPr>
          <w:rFonts w:eastAsiaTheme="minorEastAsia"/>
          <w:lang w:val="en-US"/>
        </w:rPr>
        <w:t xml:space="preserve"> It is strongly </w:t>
      </w:r>
      <w:r w:rsidRPr="00B2154F">
        <w:rPr>
          <w:rFonts w:eastAsiaTheme="minorEastAsia"/>
          <w:lang w:val="en-US"/>
        </w:rPr>
        <w:lastRenderedPageBreak/>
        <w:t>associated with severe chronic pain, infertility, and potential end-organ damage, including bowel obstruction and ureteral compromise</w:t>
      </w:r>
      <w:r w:rsidR="001524BA">
        <w:rPr>
          <w:rFonts w:eastAsiaTheme="minorEastAsia"/>
          <w:vertAlign w:val="superscript"/>
          <w:lang w:val="en-US"/>
        </w:rPr>
        <w:t>187</w:t>
      </w:r>
      <w:r w:rsidR="007F3168" w:rsidRPr="007F3168">
        <w:rPr>
          <w:rStyle w:val="Rimandonotadichiusura"/>
          <w:rFonts w:eastAsiaTheme="minorEastAsia"/>
          <w:lang w:val="en-US"/>
        </w:rPr>
        <w:endnoteReference w:id="214"/>
      </w:r>
      <w:r w:rsidR="009C7A19">
        <w:rPr>
          <w:rFonts w:eastAsiaTheme="minorEastAsia"/>
          <w:lang w:val="en-US"/>
        </w:rPr>
        <w:t>.</w:t>
      </w:r>
      <w:r w:rsidRPr="00B2154F">
        <w:rPr>
          <w:rFonts w:eastAsiaTheme="minorEastAsia"/>
          <w:lang w:val="en-US"/>
        </w:rPr>
        <w:t xml:space="preserve">The </w:t>
      </w:r>
      <w:proofErr w:type="gramStart"/>
      <w:r w:rsidRPr="00B2154F">
        <w:rPr>
          <w:rFonts w:eastAsiaTheme="minorEastAsia"/>
          <w:lang w:val="en-US"/>
        </w:rPr>
        <w:t>most commonly affected</w:t>
      </w:r>
      <w:proofErr w:type="gramEnd"/>
      <w:r w:rsidRPr="00B2154F">
        <w:rPr>
          <w:rFonts w:eastAsiaTheme="minorEastAsia"/>
          <w:lang w:val="en-US"/>
        </w:rPr>
        <w:t xml:space="preserve"> sites include the uterosacral ligaments, posterior cul-de-sac, rectovaginal septum, rectosigmoid colon, and, less frequently, the urinary tract and anterior compartment</w:t>
      </w:r>
      <w:r w:rsidR="007F3168">
        <w:rPr>
          <w:rStyle w:val="Rimandonotadichiusura"/>
          <w:rFonts w:eastAsiaTheme="minorEastAsia"/>
          <w:lang w:val="en-US"/>
        </w:rPr>
        <w:endnoteReference w:id="215"/>
      </w:r>
      <w:r w:rsidR="00077A44">
        <w:rPr>
          <w:rFonts w:eastAsiaTheme="minorEastAsia"/>
          <w:lang w:val="en-US"/>
        </w:rPr>
        <w:t>.</w:t>
      </w:r>
    </w:p>
    <w:p w14:paraId="278AA014" w14:textId="7EDD4A75" w:rsidR="00B2154F" w:rsidRPr="00B2154F" w:rsidRDefault="00B2154F" w:rsidP="00B2154F">
      <w:pPr>
        <w:spacing w:line="360" w:lineRule="auto"/>
        <w:jc w:val="both"/>
        <w:rPr>
          <w:rFonts w:eastAsiaTheme="minorEastAsia"/>
          <w:lang w:val="en-US"/>
        </w:rPr>
      </w:pPr>
      <w:r w:rsidRPr="00B2154F">
        <w:rPr>
          <w:rFonts w:eastAsiaTheme="minorEastAsia"/>
          <w:lang w:val="en-US"/>
        </w:rPr>
        <w:t>Rarely, endometriosis may occur outside the pelvic cavity, involving extraperitoneal sites such as the diaphragm, thorax, skin, subcutaneous tissue, or surgical scars</w:t>
      </w:r>
      <w:r w:rsidR="007F3168">
        <w:rPr>
          <w:rStyle w:val="Rimandonotadichiusura"/>
          <w:rFonts w:eastAsiaTheme="minorEastAsia"/>
          <w:lang w:val="en-US"/>
        </w:rPr>
        <w:endnoteReference w:id="216"/>
      </w:r>
      <w:r w:rsidR="00077A44">
        <w:rPr>
          <w:rFonts w:eastAsiaTheme="minorEastAsia"/>
          <w:lang w:val="en-US"/>
        </w:rPr>
        <w:t>.</w:t>
      </w:r>
      <w:r w:rsidRPr="00B2154F">
        <w:rPr>
          <w:rFonts w:eastAsiaTheme="minorEastAsia"/>
          <w:lang w:val="en-US"/>
        </w:rPr>
        <w:t xml:space="preserve"> These forms are associated with site-specific symptoms, including cyclical thoracic pain or catamenial pneumothorax, and are best evaluated using magnetic resonance imaging</w:t>
      </w:r>
      <w:r w:rsidR="007F3168">
        <w:rPr>
          <w:rStyle w:val="Rimandonotadichiusura"/>
          <w:rFonts w:eastAsiaTheme="minorEastAsia"/>
          <w:lang w:val="en-US"/>
        </w:rPr>
        <w:endnoteReference w:id="217"/>
      </w:r>
      <w:r w:rsidR="00077A44">
        <w:rPr>
          <w:rFonts w:eastAsiaTheme="minorEastAsia"/>
          <w:lang w:val="en-US"/>
        </w:rPr>
        <w:t>.</w:t>
      </w:r>
    </w:p>
    <w:p w14:paraId="51840FF4" w14:textId="57B998E0" w:rsidR="00BF3711" w:rsidRPr="00BF3711" w:rsidRDefault="00BF3711" w:rsidP="00BF3711">
      <w:pPr>
        <w:spacing w:line="360" w:lineRule="auto"/>
        <w:jc w:val="both"/>
        <w:rPr>
          <w:rFonts w:eastAsiaTheme="minorEastAsia"/>
          <w:lang w:val="en-US"/>
        </w:rPr>
      </w:pPr>
      <w:r w:rsidRPr="00BF3711">
        <w:rPr>
          <w:rFonts w:eastAsiaTheme="minorEastAsia"/>
          <w:lang w:val="en-US"/>
        </w:rPr>
        <w:t>A key clinical feature of endometriosis is the lack of correlation between symptom severity and the anatomical extent of disease, as women with extensive lesions may be asymptomatic, whereas others with minimal disease can experience severe and disabling symptoms</w:t>
      </w:r>
      <w:r w:rsidR="001524BA">
        <w:rPr>
          <w:rFonts w:eastAsiaTheme="minorEastAsia"/>
          <w:vertAlign w:val="superscript"/>
          <w:lang w:val="en-US"/>
        </w:rPr>
        <w:t>183</w:t>
      </w:r>
      <w:r w:rsidRPr="00BF3711">
        <w:rPr>
          <w:rFonts w:eastAsiaTheme="minorEastAsia"/>
          <w:lang w:val="en-US"/>
        </w:rPr>
        <w:t>.</w:t>
      </w:r>
      <w:r w:rsidR="00675696">
        <w:rPr>
          <w:rFonts w:eastAsiaTheme="minorEastAsia"/>
          <w:lang w:val="en-US"/>
        </w:rPr>
        <w:t xml:space="preserve"> </w:t>
      </w:r>
      <w:r w:rsidRPr="00BF3711">
        <w:rPr>
          <w:rFonts w:eastAsiaTheme="minorEastAsia"/>
          <w:lang w:val="en-US"/>
        </w:rPr>
        <w:t>This marked clinical heterogeneity represents one of the main challenges in diagnosis and management</w:t>
      </w:r>
      <w:r w:rsidR="001524BA">
        <w:rPr>
          <w:rFonts w:eastAsiaTheme="minorEastAsia"/>
          <w:vertAlign w:val="superscript"/>
          <w:lang w:val="en-US"/>
        </w:rPr>
        <w:t>196</w:t>
      </w:r>
      <w:r w:rsidR="00675696">
        <w:rPr>
          <w:rFonts w:eastAsiaTheme="minorEastAsia"/>
          <w:lang w:val="en-US"/>
        </w:rPr>
        <w:t xml:space="preserve">. </w:t>
      </w:r>
    </w:p>
    <w:p w14:paraId="5264DA1B" w14:textId="38936190" w:rsidR="00BF3711" w:rsidRPr="00BF3711" w:rsidRDefault="00BF3711" w:rsidP="00BF3711">
      <w:pPr>
        <w:spacing w:line="360" w:lineRule="auto"/>
        <w:jc w:val="both"/>
        <w:rPr>
          <w:rFonts w:eastAsiaTheme="minorEastAsia"/>
          <w:lang w:val="en-US"/>
        </w:rPr>
      </w:pPr>
      <w:r w:rsidRPr="00BF3711">
        <w:rPr>
          <w:rFonts w:eastAsiaTheme="minorEastAsia"/>
          <w:lang w:val="en-US"/>
        </w:rPr>
        <w:t>The classical presentation of endometriosis is traditionally described as a symptom triad including dysmenorrhea, deep dyspareunia, and infertility</w:t>
      </w:r>
      <w:r w:rsidR="00675696">
        <w:rPr>
          <w:rFonts w:eastAsiaTheme="minorEastAsia"/>
          <w:lang w:val="en-US"/>
        </w:rPr>
        <w:t xml:space="preserve">. </w:t>
      </w:r>
      <w:r w:rsidRPr="00BF3711">
        <w:rPr>
          <w:rFonts w:eastAsiaTheme="minorEastAsia"/>
          <w:lang w:val="en-US"/>
        </w:rPr>
        <w:t>Secondary dysmenorrhea is the most frequent manifestation and typically develops after years of relatively painless menstruation, with a gradual onset and progressive worsening over time. Unlike primary dysmenorrhea, pain associated with endometriosis often persists for several days, responds poorly to non-steroidal anti-inflammatory drugs, and may significantly interfere with daily functioning and quality of life</w:t>
      </w:r>
      <w:r w:rsidR="001524BA">
        <w:rPr>
          <w:rFonts w:eastAsiaTheme="minorEastAsia"/>
          <w:vertAlign w:val="superscript"/>
          <w:lang w:val="en-US"/>
        </w:rPr>
        <w:t>184 216</w:t>
      </w:r>
      <w:r w:rsidR="00675696">
        <w:rPr>
          <w:rFonts w:eastAsiaTheme="minorEastAsia"/>
          <w:lang w:val="en-US"/>
        </w:rPr>
        <w:t>.</w:t>
      </w:r>
      <w:r w:rsidR="00675696" w:rsidRPr="00675696">
        <w:rPr>
          <w:rFonts w:eastAsiaTheme="minorEastAsia"/>
          <w:lang w:val="en-US"/>
        </w:rPr>
        <w:t xml:space="preserve"> </w:t>
      </w:r>
    </w:p>
    <w:p w14:paraId="02102F2E" w14:textId="2D29E670" w:rsidR="00BF3711" w:rsidRPr="00BF3711" w:rsidRDefault="00BF3711" w:rsidP="00BF3711">
      <w:pPr>
        <w:spacing w:line="360" w:lineRule="auto"/>
        <w:jc w:val="both"/>
        <w:rPr>
          <w:rFonts w:eastAsiaTheme="minorEastAsia"/>
          <w:lang w:val="en-US"/>
        </w:rPr>
      </w:pPr>
      <w:r w:rsidRPr="00BF3711">
        <w:rPr>
          <w:rFonts w:eastAsiaTheme="minorEastAsia"/>
          <w:lang w:val="en-US"/>
        </w:rPr>
        <w:t>Deep dyspareunia is another hallmark symptom and is commonly described as a deep pelvic or crushing pain during sexual intercourse</w:t>
      </w:r>
      <w:r w:rsidR="00675696">
        <w:rPr>
          <w:rFonts w:eastAsiaTheme="minorEastAsia"/>
          <w:lang w:val="en-US"/>
        </w:rPr>
        <w:t>.</w:t>
      </w:r>
      <w:r w:rsidRPr="00BF3711">
        <w:rPr>
          <w:rFonts w:eastAsiaTheme="minorEastAsia"/>
          <w:lang w:val="en-US"/>
        </w:rPr>
        <w:t xml:space="preserve"> This symptom is strongly associated with deep infiltrating endometriosis involving the uterosacral ligaments and the rectovaginal septum and is frequently linked to reduced sexual satisfaction, decreased libido, and impaired intimate relationships</w:t>
      </w:r>
      <w:r w:rsidR="00675696">
        <w:rPr>
          <w:rStyle w:val="Rimandonotadichiusura"/>
          <w:rFonts w:eastAsiaTheme="minorEastAsia"/>
          <w:lang w:val="en-US"/>
        </w:rPr>
        <w:endnoteReference w:id="218"/>
      </w:r>
      <w:r w:rsidR="00022CAC">
        <w:rPr>
          <w:rStyle w:val="Rimandonotadichiusura"/>
          <w:rFonts w:eastAsiaTheme="minorEastAsia"/>
          <w:lang w:val="en-US"/>
        </w:rPr>
        <w:endnoteReference w:id="219"/>
      </w:r>
      <w:r w:rsidR="00077A44">
        <w:rPr>
          <w:rFonts w:eastAsiaTheme="minorEastAsia"/>
          <w:lang w:val="en-US"/>
        </w:rPr>
        <w:t>.</w:t>
      </w:r>
    </w:p>
    <w:p w14:paraId="41EEA45E" w14:textId="540F3F53" w:rsidR="00BF3711" w:rsidRPr="00BF3711" w:rsidRDefault="00BF3711" w:rsidP="00BF3711">
      <w:pPr>
        <w:spacing w:line="360" w:lineRule="auto"/>
        <w:jc w:val="both"/>
        <w:rPr>
          <w:rFonts w:eastAsiaTheme="minorEastAsia"/>
          <w:lang w:val="en-US"/>
        </w:rPr>
      </w:pPr>
      <w:r w:rsidRPr="00BF3711">
        <w:rPr>
          <w:rFonts w:eastAsiaTheme="minorEastAsia"/>
          <w:lang w:val="en-US"/>
        </w:rPr>
        <w:t>Infertility affects a substantial proportion of women with endometriosis and may represent the sole clinical manifestation in some cases</w:t>
      </w:r>
      <w:r w:rsidR="00022CAC">
        <w:rPr>
          <w:rStyle w:val="Rimandonotadichiusura"/>
          <w:rFonts w:eastAsiaTheme="minorEastAsia"/>
          <w:lang w:val="en-US"/>
        </w:rPr>
        <w:endnoteReference w:id="220"/>
      </w:r>
      <w:r w:rsidR="00077A44">
        <w:rPr>
          <w:rFonts w:eastAsiaTheme="minorEastAsia"/>
          <w:lang w:val="en-US"/>
        </w:rPr>
        <w:t>.</w:t>
      </w:r>
      <w:r w:rsidRPr="00BF3711">
        <w:rPr>
          <w:rFonts w:eastAsiaTheme="minorEastAsia"/>
          <w:lang w:val="en-US"/>
        </w:rPr>
        <w:t xml:space="preserve"> The mechanisms underlying endometriosis-associated infertility are multifactorial and include peritoneal inflammation, anatomical distortion due to adhesions, altered tubal function, and impaired oocyte and embryo quality</w:t>
      </w:r>
      <w:r w:rsidR="00022CAC">
        <w:rPr>
          <w:rStyle w:val="Rimandonotadichiusura"/>
          <w:rFonts w:eastAsiaTheme="minorEastAsia"/>
          <w:lang w:val="en-US"/>
        </w:rPr>
        <w:endnoteReference w:id="221"/>
      </w:r>
      <w:r w:rsidR="00077A44">
        <w:rPr>
          <w:rFonts w:eastAsiaTheme="minorEastAsia"/>
          <w:lang w:val="en-US"/>
        </w:rPr>
        <w:t>.</w:t>
      </w:r>
    </w:p>
    <w:p w14:paraId="7B248DE1" w14:textId="219F1190" w:rsidR="00BF3711" w:rsidRPr="00BF3711" w:rsidRDefault="00BF3711" w:rsidP="00BF3711">
      <w:pPr>
        <w:spacing w:line="360" w:lineRule="auto"/>
        <w:jc w:val="both"/>
        <w:rPr>
          <w:rFonts w:eastAsiaTheme="minorEastAsia"/>
          <w:lang w:val="en-US"/>
        </w:rPr>
      </w:pPr>
      <w:r w:rsidRPr="00BF3711">
        <w:rPr>
          <w:rFonts w:eastAsiaTheme="minorEastAsia"/>
          <w:lang w:val="en-US"/>
        </w:rPr>
        <w:t>Beyond cyclical pain, many women develop chronic non-cyclical pelvic pain, which may become the predominant symptom over time</w:t>
      </w:r>
      <w:r w:rsidR="00022CAC">
        <w:rPr>
          <w:rStyle w:val="Rimandonotadichiusura"/>
          <w:rFonts w:eastAsiaTheme="minorEastAsia"/>
          <w:lang w:val="en-US"/>
        </w:rPr>
        <w:endnoteReference w:id="222"/>
      </w:r>
      <w:r w:rsidR="00077A44">
        <w:rPr>
          <w:rFonts w:eastAsiaTheme="minorEastAsia"/>
          <w:lang w:val="en-US"/>
        </w:rPr>
        <w:t xml:space="preserve">. </w:t>
      </w:r>
      <w:r w:rsidRPr="00BF3711">
        <w:rPr>
          <w:rFonts w:eastAsiaTheme="minorEastAsia"/>
          <w:lang w:val="en-US"/>
        </w:rPr>
        <w:t xml:space="preserve">This transition from cyclical to persistent </w:t>
      </w:r>
      <w:r w:rsidRPr="00BF3711">
        <w:rPr>
          <w:rFonts w:eastAsiaTheme="minorEastAsia"/>
          <w:lang w:val="en-US"/>
        </w:rPr>
        <w:lastRenderedPageBreak/>
        <w:t xml:space="preserve">pain reflects the development of central sensitization and </w:t>
      </w:r>
      <w:r w:rsidR="009C7A19">
        <w:rPr>
          <w:rFonts w:eastAsiaTheme="minorEastAsia"/>
          <w:lang w:val="en-US"/>
        </w:rPr>
        <w:t>noci</w:t>
      </w:r>
      <w:r w:rsidR="0017420D" w:rsidRPr="00BF3711">
        <w:rPr>
          <w:rFonts w:eastAsiaTheme="minorEastAsia"/>
          <w:lang w:val="en-US"/>
        </w:rPr>
        <w:t>plastic</w:t>
      </w:r>
      <w:r w:rsidRPr="00BF3711">
        <w:rPr>
          <w:rFonts w:eastAsiaTheme="minorEastAsia"/>
          <w:lang w:val="en-US"/>
        </w:rPr>
        <w:t xml:space="preserve"> pain mechanisms rather than ongoing peripheral tissue damage alone</w:t>
      </w:r>
      <w:r w:rsidR="00022CAC">
        <w:rPr>
          <w:rStyle w:val="Rimandonotadichiusura"/>
          <w:rFonts w:eastAsiaTheme="minorEastAsia"/>
          <w:lang w:val="en-US"/>
        </w:rPr>
        <w:endnoteReference w:id="223"/>
      </w:r>
      <w:r w:rsidR="00077A44">
        <w:rPr>
          <w:rFonts w:eastAsiaTheme="minorEastAsia"/>
          <w:lang w:val="en-US"/>
        </w:rPr>
        <w:t>.</w:t>
      </w:r>
    </w:p>
    <w:p w14:paraId="4463D884" w14:textId="273017A4" w:rsidR="00BF3711" w:rsidRPr="00BF3711" w:rsidRDefault="00BF3711" w:rsidP="00BF3711">
      <w:pPr>
        <w:spacing w:line="360" w:lineRule="auto"/>
        <w:jc w:val="both"/>
        <w:rPr>
          <w:rFonts w:eastAsiaTheme="minorEastAsia"/>
          <w:lang w:val="en-US"/>
        </w:rPr>
      </w:pPr>
      <w:r w:rsidRPr="00BF3711">
        <w:rPr>
          <w:rFonts w:eastAsiaTheme="minorEastAsia"/>
          <w:lang w:val="en-US"/>
        </w:rPr>
        <w:t>Deep infiltrating endometriosis involving pelvic organs is associated with organ-specific symptoms that often worsen during menstruation</w:t>
      </w:r>
      <w:r w:rsidR="00022CAC">
        <w:rPr>
          <w:rStyle w:val="Rimandonotadichiusura"/>
          <w:rFonts w:eastAsiaTheme="minorEastAsia"/>
          <w:lang w:val="en-US"/>
        </w:rPr>
        <w:endnoteReference w:id="224"/>
      </w:r>
      <w:r w:rsidR="00077A44">
        <w:rPr>
          <w:rFonts w:eastAsiaTheme="minorEastAsia"/>
          <w:lang w:val="en-US"/>
        </w:rPr>
        <w:t>.</w:t>
      </w:r>
      <w:r w:rsidRPr="00BF3711">
        <w:rPr>
          <w:rFonts w:eastAsiaTheme="minorEastAsia"/>
          <w:lang w:val="en-US"/>
        </w:rPr>
        <w:t xml:space="preserve"> Rectosigmoid involvement may cause dyschezia and, in advanced cases, cyclic rectal bleeding, whereas bladder or ureteral infiltration can result in dysuria, urinary frequency, or cyclic hematuria</w:t>
      </w:r>
      <w:r w:rsidR="00022CAC">
        <w:rPr>
          <w:rStyle w:val="Rimandonotadichiusura"/>
          <w:rFonts w:eastAsiaTheme="minorEastAsia"/>
          <w:lang w:val="en-US"/>
        </w:rPr>
        <w:endnoteReference w:id="225"/>
      </w:r>
      <w:r w:rsidR="00077A44">
        <w:rPr>
          <w:rFonts w:eastAsiaTheme="minorEastAsia"/>
          <w:lang w:val="en-US"/>
        </w:rPr>
        <w:t>.</w:t>
      </w:r>
    </w:p>
    <w:p w14:paraId="45760975" w14:textId="70AEEE46" w:rsidR="00BF3711" w:rsidRPr="00BF3711" w:rsidRDefault="00BF3711" w:rsidP="00BF3711">
      <w:pPr>
        <w:spacing w:line="360" w:lineRule="auto"/>
        <w:jc w:val="both"/>
        <w:rPr>
          <w:rFonts w:eastAsiaTheme="minorEastAsia"/>
          <w:lang w:val="en-US"/>
        </w:rPr>
      </w:pPr>
      <w:r w:rsidRPr="00BF3711">
        <w:rPr>
          <w:rFonts w:eastAsiaTheme="minorEastAsia"/>
          <w:lang w:val="en-US"/>
        </w:rPr>
        <w:t>Extra-pelvic manifestations, although rare, may occur when endometriotic lesions involve the diaphragm or thoracic cavity, leading to cyclic chest pain, dyspnea, shoulder pain, or catamenial hemoptysis</w:t>
      </w:r>
      <w:r w:rsidR="005B4940">
        <w:rPr>
          <w:rStyle w:val="Rimandonotadichiusura"/>
          <w:rFonts w:eastAsiaTheme="minorEastAsia"/>
          <w:lang w:val="en-US"/>
        </w:rPr>
        <w:endnoteReference w:id="226"/>
      </w:r>
      <w:r w:rsidR="00077A44">
        <w:rPr>
          <w:rFonts w:eastAsiaTheme="minorEastAsia"/>
          <w:lang w:val="en-US"/>
        </w:rPr>
        <w:t>.</w:t>
      </w:r>
      <w:r w:rsidRPr="00BF3711">
        <w:rPr>
          <w:rFonts w:eastAsiaTheme="minorEastAsia"/>
          <w:lang w:val="en-US"/>
        </w:rPr>
        <w:t xml:space="preserve"> These forms are frequently underdiagnosed due to their atypical </w:t>
      </w:r>
      <w:r w:rsidR="003F4911" w:rsidRPr="00BF3711">
        <w:rPr>
          <w:rFonts w:eastAsiaTheme="minorEastAsia"/>
          <w:lang w:val="en-US"/>
        </w:rPr>
        <w:t>presentation</w:t>
      </w:r>
      <w:r w:rsidR="005B4940" w:rsidRPr="005B4940">
        <w:rPr>
          <w:rFonts w:eastAsiaTheme="minorEastAsia"/>
          <w:lang w:val="en-US"/>
        </w:rPr>
        <w:t>.</w:t>
      </w:r>
      <w:r w:rsidR="00077A44">
        <w:rPr>
          <w:rFonts w:eastAsiaTheme="minorEastAsia"/>
          <w:lang w:val="en-US"/>
        </w:rPr>
        <w:t xml:space="preserve"> </w:t>
      </w:r>
    </w:p>
    <w:p w14:paraId="5C55AE9C" w14:textId="1EC44F5A" w:rsidR="00BF3711" w:rsidRPr="00BF3711" w:rsidRDefault="00BF3711" w:rsidP="00BF3711">
      <w:pPr>
        <w:spacing w:line="360" w:lineRule="auto"/>
        <w:jc w:val="both"/>
        <w:rPr>
          <w:rFonts w:eastAsiaTheme="minorEastAsia"/>
          <w:lang w:val="en-US"/>
        </w:rPr>
      </w:pPr>
      <w:r w:rsidRPr="00BF3711">
        <w:rPr>
          <w:rFonts w:eastAsiaTheme="minorEastAsia"/>
          <w:lang w:val="en-US"/>
        </w:rPr>
        <w:t>In addition to site-specific symptoms, many patients report non-specific complaints such as abdominal bloating, low back pain, abnormal uterine bleeding, gastrointestinal disturbances, urinary symptoms, and profound fatigue, the latter often being underestimated despite its significant impact on daily functioning</w:t>
      </w:r>
      <w:r w:rsidR="005B4940">
        <w:rPr>
          <w:rStyle w:val="Rimandonotadichiusura"/>
          <w:rFonts w:eastAsiaTheme="minorEastAsia"/>
          <w:lang w:val="en-US"/>
        </w:rPr>
        <w:endnoteReference w:id="227"/>
      </w:r>
      <w:r w:rsidR="00077A44">
        <w:rPr>
          <w:rFonts w:eastAsiaTheme="minorEastAsia"/>
          <w:lang w:val="en-US"/>
        </w:rPr>
        <w:t>.</w:t>
      </w:r>
    </w:p>
    <w:p w14:paraId="5E188018" w14:textId="7BC589D7" w:rsidR="00BF3711" w:rsidRPr="00BF3711" w:rsidRDefault="00BF3711" w:rsidP="00BF3711">
      <w:pPr>
        <w:spacing w:line="360" w:lineRule="auto"/>
        <w:jc w:val="both"/>
        <w:rPr>
          <w:rFonts w:eastAsiaTheme="minorEastAsia"/>
          <w:lang w:val="en-US"/>
        </w:rPr>
      </w:pPr>
      <w:r w:rsidRPr="00BF3711">
        <w:rPr>
          <w:rFonts w:eastAsiaTheme="minorEastAsia"/>
          <w:lang w:val="en-US"/>
        </w:rPr>
        <w:t>The natural history of endometriosis is highly variable, with longitudinal laparoscopic studies demonstrating that lesions may progress, remain stable, or even regress in untreated women</w:t>
      </w:r>
      <w:r w:rsidR="005B4940">
        <w:rPr>
          <w:rStyle w:val="Rimandonotadichiusura"/>
          <w:rFonts w:eastAsiaTheme="minorEastAsia"/>
          <w:lang w:val="en-US"/>
        </w:rPr>
        <w:endnoteReference w:id="228"/>
      </w:r>
      <w:r w:rsidR="00101D71">
        <w:rPr>
          <w:rFonts w:eastAsiaTheme="minorEastAsia"/>
          <w:lang w:val="en-US"/>
        </w:rPr>
        <w:t xml:space="preserve">. </w:t>
      </w:r>
      <w:r w:rsidRPr="00BF3711">
        <w:rPr>
          <w:rFonts w:eastAsiaTheme="minorEastAsia"/>
          <w:lang w:val="en-US"/>
        </w:rPr>
        <w:t>These observations have challenged the traditional concept of endometriosis as a uniformly progressive disease</w:t>
      </w:r>
      <w:r w:rsidR="001524BA">
        <w:rPr>
          <w:rFonts w:eastAsiaTheme="minorEastAsia"/>
          <w:vertAlign w:val="superscript"/>
          <w:lang w:val="en-US"/>
        </w:rPr>
        <w:t>226</w:t>
      </w:r>
      <w:r w:rsidR="005B4940">
        <w:rPr>
          <w:rFonts w:eastAsiaTheme="minorEastAsia"/>
          <w:lang w:val="en-US"/>
        </w:rPr>
        <w:t xml:space="preserve">. </w:t>
      </w:r>
      <w:r w:rsidRPr="00BF3711">
        <w:rPr>
          <w:rFonts w:eastAsiaTheme="minorEastAsia"/>
          <w:lang w:val="en-US"/>
        </w:rPr>
        <w:t>Symptom onset commonly occurs during adolescence, while symptoms often improve after menopause due to estrogen deprivation, although persistent pain may continue in a subset of patients</w:t>
      </w:r>
      <w:r w:rsidR="005B4940">
        <w:rPr>
          <w:rStyle w:val="Rimandonotadichiusura"/>
          <w:rFonts w:eastAsiaTheme="minorEastAsia"/>
          <w:lang w:val="en-US"/>
        </w:rPr>
        <w:endnoteReference w:id="229"/>
      </w:r>
      <w:r w:rsidR="00077A44">
        <w:rPr>
          <w:rFonts w:eastAsiaTheme="minorEastAsia"/>
          <w:lang w:val="en-US"/>
        </w:rPr>
        <w:t>.</w:t>
      </w:r>
    </w:p>
    <w:p w14:paraId="6CF7085C" w14:textId="64460985" w:rsidR="00BF3711" w:rsidRPr="00BF3711" w:rsidRDefault="00BF3711" w:rsidP="00BF3711">
      <w:pPr>
        <w:spacing w:line="360" w:lineRule="auto"/>
        <w:jc w:val="both"/>
        <w:rPr>
          <w:rFonts w:eastAsiaTheme="minorEastAsia"/>
          <w:lang w:val="en-US"/>
        </w:rPr>
      </w:pPr>
      <w:r w:rsidRPr="00BF3711">
        <w:rPr>
          <w:rFonts w:eastAsiaTheme="minorEastAsia"/>
          <w:lang w:val="en-US"/>
        </w:rPr>
        <w:t>A proportion of women develop persistent chronic pelvic pain despite adequate surgical and medical treatment, reflecting a shift toward central sensitization and altered nociceptive processing</w:t>
      </w:r>
      <w:r w:rsidR="005B4940">
        <w:rPr>
          <w:rStyle w:val="Rimandonotadichiusura"/>
          <w:rFonts w:eastAsiaTheme="minorEastAsia"/>
          <w:lang w:val="en-US"/>
        </w:rPr>
        <w:endnoteReference w:id="230"/>
      </w:r>
      <w:r w:rsidR="00077A44">
        <w:rPr>
          <w:rFonts w:eastAsiaTheme="minorEastAsia"/>
          <w:lang w:val="en-US"/>
        </w:rPr>
        <w:t>.</w:t>
      </w:r>
      <w:r w:rsidR="001A69DE">
        <w:rPr>
          <w:rFonts w:eastAsiaTheme="minorEastAsia"/>
          <w:lang w:val="en-US"/>
        </w:rPr>
        <w:t xml:space="preserve"> </w:t>
      </w:r>
      <w:r w:rsidRPr="00BF3711">
        <w:rPr>
          <w:rFonts w:eastAsiaTheme="minorEastAsia"/>
          <w:lang w:val="en-US"/>
        </w:rPr>
        <w:t>Nociplastic pain, defined as pain arising from altered nociception without clear evidence of ongoing tissue injury, has been increasingly recognized in endometriosis-associated pain syndromes</w:t>
      </w:r>
      <w:r w:rsidR="005B4940">
        <w:rPr>
          <w:rFonts w:eastAsiaTheme="minorEastAsia"/>
          <w:lang w:val="en-US"/>
        </w:rPr>
        <w:t>.</w:t>
      </w:r>
      <w:r w:rsidRPr="00BF3711">
        <w:rPr>
          <w:rFonts w:eastAsiaTheme="minorEastAsia"/>
          <w:lang w:val="en-US"/>
        </w:rPr>
        <w:t xml:space="preserve"> Proposed mechanisms include impaired descending inhibitory pathways and cross-sensitization between visceral and somatic structures at the spinal and supraspinal level</w:t>
      </w:r>
      <w:r w:rsidR="005B4940">
        <w:rPr>
          <w:rFonts w:eastAsiaTheme="minorEastAsia"/>
          <w:lang w:val="en-US"/>
        </w:rPr>
        <w:t>.</w:t>
      </w:r>
    </w:p>
    <w:p w14:paraId="5C08A3FC" w14:textId="182C066B" w:rsidR="00BF3711" w:rsidRPr="00BF3711" w:rsidRDefault="00BF3711" w:rsidP="00BF3711">
      <w:pPr>
        <w:spacing w:line="360" w:lineRule="auto"/>
        <w:jc w:val="both"/>
        <w:rPr>
          <w:rFonts w:eastAsiaTheme="minorEastAsia"/>
          <w:lang w:val="en-US"/>
        </w:rPr>
      </w:pPr>
      <w:r w:rsidRPr="00BF3711">
        <w:rPr>
          <w:rFonts w:eastAsiaTheme="minorEastAsia"/>
          <w:lang w:val="en-US"/>
        </w:rPr>
        <w:t>Central sensitization may also explain the frequent coexistence of endometriosis with other chronic pain conditions such as vulvodynia, irritable bowel syndrome, painful bladder syndrome, and fibromyalgia</w:t>
      </w:r>
      <w:r w:rsidR="005B4940">
        <w:rPr>
          <w:rStyle w:val="Rimandonotadichiusura"/>
          <w:rFonts w:eastAsiaTheme="minorEastAsia"/>
          <w:lang w:val="en-US"/>
        </w:rPr>
        <w:endnoteReference w:id="231"/>
      </w:r>
      <w:r w:rsidR="005B4940">
        <w:rPr>
          <w:rStyle w:val="Rimandonotadichiusura"/>
          <w:rFonts w:eastAsiaTheme="minorEastAsia"/>
          <w:lang w:val="en-US"/>
        </w:rPr>
        <w:endnoteReference w:id="232"/>
      </w:r>
      <w:r w:rsidRPr="00BF3711">
        <w:rPr>
          <w:rFonts w:eastAsiaTheme="minorEastAsia"/>
          <w:lang w:val="en-US"/>
        </w:rPr>
        <w:t>. The resulting dissociation between lesion burden and symptom severity further contributes to diagnostic delay and therapeutic frustration</w:t>
      </w:r>
      <w:r w:rsidR="001524BA">
        <w:rPr>
          <w:rFonts w:eastAsiaTheme="minorEastAsia"/>
          <w:vertAlign w:val="superscript"/>
          <w:lang w:val="en-US"/>
        </w:rPr>
        <w:t>196</w:t>
      </w:r>
      <w:r w:rsidR="005B4940">
        <w:rPr>
          <w:rFonts w:eastAsiaTheme="minorEastAsia"/>
          <w:lang w:val="en-US"/>
        </w:rPr>
        <w:t xml:space="preserve">. </w:t>
      </w:r>
    </w:p>
    <w:p w14:paraId="5287F069" w14:textId="6E349125" w:rsidR="00BF3711" w:rsidRPr="00BF3711" w:rsidRDefault="00BF3711" w:rsidP="00BF3711">
      <w:pPr>
        <w:spacing w:line="360" w:lineRule="auto"/>
        <w:jc w:val="both"/>
        <w:rPr>
          <w:rFonts w:eastAsiaTheme="minorEastAsia"/>
          <w:lang w:val="en-US"/>
        </w:rPr>
      </w:pPr>
      <w:r w:rsidRPr="00BF3711">
        <w:rPr>
          <w:rFonts w:eastAsiaTheme="minorEastAsia"/>
          <w:lang w:val="en-US"/>
        </w:rPr>
        <w:lastRenderedPageBreak/>
        <w:t>Endometriosis has a profound negative impact on quality of life and psychological well-being</w:t>
      </w:r>
      <w:r w:rsidR="00327D07">
        <w:rPr>
          <w:rStyle w:val="Rimandonotadichiusura"/>
          <w:rFonts w:eastAsiaTheme="minorEastAsia"/>
          <w:lang w:val="en-US"/>
        </w:rPr>
        <w:endnoteReference w:id="233"/>
      </w:r>
      <w:r w:rsidR="00077A44">
        <w:rPr>
          <w:rFonts w:eastAsiaTheme="minorEastAsia"/>
          <w:lang w:val="en-US"/>
        </w:rPr>
        <w:t>.</w:t>
      </w:r>
      <w:r w:rsidR="00327D07">
        <w:rPr>
          <w:rFonts w:eastAsiaTheme="minorEastAsia"/>
          <w:lang w:val="en-US"/>
        </w:rPr>
        <w:t xml:space="preserve"> </w:t>
      </w:r>
      <w:r w:rsidRPr="00BF3711">
        <w:rPr>
          <w:rFonts w:eastAsiaTheme="minorEastAsia"/>
          <w:lang w:val="en-US"/>
        </w:rPr>
        <w:t>Women with endometriosis consistently report lower health-related quality of life compared with unaffected controls and exhibit high rates of depression and anxiety</w:t>
      </w:r>
      <w:r w:rsidR="00327D07">
        <w:rPr>
          <w:rStyle w:val="Rimandonotadichiusura"/>
          <w:rFonts w:eastAsiaTheme="minorEastAsia"/>
          <w:lang w:val="en-US"/>
        </w:rPr>
        <w:endnoteReference w:id="234"/>
      </w:r>
      <w:r w:rsidR="00077A44">
        <w:rPr>
          <w:rFonts w:eastAsiaTheme="minorEastAsia"/>
          <w:lang w:val="en-US"/>
        </w:rPr>
        <w:t xml:space="preserve">. </w:t>
      </w:r>
      <w:r w:rsidRPr="00BF3711">
        <w:rPr>
          <w:rFonts w:eastAsiaTheme="minorEastAsia"/>
          <w:lang w:val="en-US"/>
        </w:rPr>
        <w:t>Psychological comorbidities, including stress-related disorders and social withdrawal, are particularly common in patients with severe or long-standing disease</w:t>
      </w:r>
      <w:r w:rsidR="00327D07">
        <w:rPr>
          <w:rStyle w:val="Rimandonotadichiusura"/>
          <w:rFonts w:eastAsiaTheme="minorEastAsia"/>
          <w:lang w:val="en-US"/>
        </w:rPr>
        <w:endnoteReference w:id="235"/>
      </w:r>
      <w:r w:rsidR="00077A44">
        <w:rPr>
          <w:rFonts w:eastAsiaTheme="minorEastAsia"/>
          <w:lang w:val="en-US"/>
        </w:rPr>
        <w:t>.</w:t>
      </w:r>
    </w:p>
    <w:p w14:paraId="6474A4FC" w14:textId="32D4B1C9" w:rsidR="00BF3711" w:rsidRDefault="00BF3711" w:rsidP="00327D07">
      <w:pPr>
        <w:spacing w:line="360" w:lineRule="auto"/>
        <w:jc w:val="both"/>
        <w:rPr>
          <w:rFonts w:eastAsiaTheme="minorEastAsia"/>
          <w:lang w:val="en-US"/>
        </w:rPr>
      </w:pPr>
      <w:r w:rsidRPr="00BF3711">
        <w:rPr>
          <w:rFonts w:eastAsiaTheme="minorEastAsia"/>
          <w:lang w:val="en-US"/>
        </w:rPr>
        <w:t>The burden of disease extends across multiple domains of daily life, affecting work productivity, interpersonal relationships, sexual health, family planning, and overall mental health</w:t>
      </w:r>
      <w:r w:rsidR="00327D07">
        <w:rPr>
          <w:rFonts w:eastAsiaTheme="minorEastAsia"/>
          <w:lang w:val="en-US"/>
        </w:rPr>
        <w:t>.</w:t>
      </w:r>
      <w:r w:rsidRPr="00BF3711">
        <w:rPr>
          <w:rFonts w:eastAsiaTheme="minorEastAsia"/>
          <w:lang w:val="en-US"/>
        </w:rPr>
        <w:t xml:space="preserve"> Pain catastrophizing and maladaptive coping strategies further amplify pain perception and worsen quality of life, contributing to a self-perpetuating cycle of pain and psychological distress</w:t>
      </w:r>
      <w:r w:rsidR="00327D07">
        <w:rPr>
          <w:rStyle w:val="Rimandonotadichiusura"/>
          <w:rFonts w:eastAsiaTheme="minorEastAsia"/>
          <w:lang w:val="en-US"/>
        </w:rPr>
        <w:endnoteReference w:id="236"/>
      </w:r>
      <w:r w:rsidR="00327D07">
        <w:rPr>
          <w:rStyle w:val="Rimandonotadichiusura"/>
          <w:rFonts w:eastAsiaTheme="minorEastAsia"/>
          <w:lang w:val="en-US"/>
        </w:rPr>
        <w:endnoteReference w:id="237"/>
      </w:r>
      <w:r w:rsidR="00077A44">
        <w:rPr>
          <w:rFonts w:eastAsiaTheme="minorEastAsia"/>
          <w:lang w:val="en-US"/>
        </w:rPr>
        <w:t>.</w:t>
      </w:r>
    </w:p>
    <w:p w14:paraId="22C3957A" w14:textId="4E82F805" w:rsidR="008957C5" w:rsidRPr="008957C5" w:rsidRDefault="008957C5" w:rsidP="008957C5">
      <w:pPr>
        <w:spacing w:line="360" w:lineRule="auto"/>
        <w:jc w:val="both"/>
        <w:rPr>
          <w:rFonts w:eastAsiaTheme="minorEastAsia"/>
          <w:lang w:val="en-US"/>
        </w:rPr>
      </w:pPr>
      <w:r w:rsidRPr="008957C5">
        <w:rPr>
          <w:rFonts w:eastAsiaTheme="minorEastAsia"/>
          <w:lang w:val="en-US"/>
        </w:rPr>
        <w:t>A major paradigm shift in international guidelines has occurred over the last decade, moving from surgical diagnosis based on laparoscopy with histological confirmation toward a non-surgical, clinical diagnosis grounded in symptoms, physical examination, and imaging finding</w:t>
      </w:r>
      <w:r w:rsidR="003941F1">
        <w:rPr>
          <w:rFonts w:eastAsiaTheme="minorEastAsia"/>
          <w:lang w:val="en-US"/>
        </w:rPr>
        <w:t>s</w:t>
      </w:r>
      <w:r>
        <w:rPr>
          <w:rStyle w:val="Rimandonotadichiusura"/>
          <w:rFonts w:eastAsiaTheme="minorEastAsia"/>
          <w:lang w:val="en-US"/>
        </w:rPr>
        <w:endnoteReference w:id="238"/>
      </w:r>
      <w:r>
        <w:rPr>
          <w:rStyle w:val="Rimandonotadichiusura"/>
          <w:rFonts w:eastAsiaTheme="minorEastAsia"/>
          <w:lang w:val="en-US"/>
        </w:rPr>
        <w:endnoteReference w:id="239"/>
      </w:r>
      <w:r w:rsidR="003941F1">
        <w:rPr>
          <w:rFonts w:eastAsiaTheme="minorEastAsia"/>
          <w:lang w:val="en-US"/>
        </w:rPr>
        <w:t>.</w:t>
      </w:r>
      <w:r w:rsidRPr="008957C5">
        <w:rPr>
          <w:rFonts w:eastAsiaTheme="minorEastAsia"/>
          <w:lang w:val="en-US"/>
        </w:rPr>
        <w:t xml:space="preserve"> This transition has been driven by the recognition that diagnostic laparoscopy is not curative, exposes patients to surgical risks, and contributes to unacceptable diagnostic delays, which may extend up to 7–11 years from symptom onset</w:t>
      </w:r>
      <w:r>
        <w:rPr>
          <w:rStyle w:val="Rimandonotadichiusura"/>
          <w:rFonts w:eastAsiaTheme="minorEastAsia"/>
          <w:lang w:val="en-US"/>
        </w:rPr>
        <w:endnoteReference w:id="240"/>
      </w:r>
      <w:r w:rsidR="003941F1">
        <w:rPr>
          <w:rFonts w:eastAsiaTheme="minorEastAsia"/>
          <w:lang w:val="en-US"/>
        </w:rPr>
        <w:t>.</w:t>
      </w:r>
    </w:p>
    <w:p w14:paraId="6A39D00A" w14:textId="49A0C0A1" w:rsidR="008957C5" w:rsidRPr="008957C5" w:rsidRDefault="008957C5" w:rsidP="008957C5">
      <w:pPr>
        <w:spacing w:line="360" w:lineRule="auto"/>
        <w:jc w:val="both"/>
        <w:rPr>
          <w:rFonts w:eastAsiaTheme="minorEastAsia"/>
          <w:lang w:val="en-US"/>
        </w:rPr>
      </w:pPr>
      <w:r w:rsidRPr="008957C5">
        <w:rPr>
          <w:rFonts w:eastAsiaTheme="minorEastAsia"/>
          <w:lang w:val="en-US"/>
        </w:rPr>
        <w:t>Careful clinical history taking represents the cornerstone of endometriosis diagnosis</w:t>
      </w:r>
      <w:r>
        <w:rPr>
          <w:rStyle w:val="Rimandonotadichiusura"/>
          <w:rFonts w:eastAsiaTheme="minorEastAsia"/>
          <w:lang w:val="en-US"/>
        </w:rPr>
        <w:endnoteReference w:id="241"/>
      </w:r>
      <w:r w:rsidR="003941F1">
        <w:rPr>
          <w:rFonts w:eastAsiaTheme="minorEastAsia"/>
          <w:lang w:val="en-US"/>
        </w:rPr>
        <w:t xml:space="preserve">. </w:t>
      </w:r>
      <w:r w:rsidRPr="008957C5">
        <w:rPr>
          <w:rFonts w:eastAsiaTheme="minorEastAsia"/>
          <w:lang w:val="en-US"/>
        </w:rPr>
        <w:t>A large UK population-based case–control study involving more than 5,000 women with endometriosis identified several symptoms strongly associated with increased disease risk, including dysmenorrhea, deep dyspareunia or postcoital bleeding, chronic abdominopelvic pain, menorrhagia, and a history of subfertility</w:t>
      </w:r>
      <w:r>
        <w:rPr>
          <w:rStyle w:val="Rimandonotadichiusura"/>
          <w:rFonts w:eastAsiaTheme="minorEastAsia"/>
          <w:lang w:val="en-US"/>
        </w:rPr>
        <w:endnoteReference w:id="242"/>
      </w:r>
      <w:r w:rsidR="003941F1">
        <w:rPr>
          <w:rFonts w:eastAsiaTheme="minorEastAsia"/>
          <w:lang w:val="en-US"/>
        </w:rPr>
        <w:t>.</w:t>
      </w:r>
      <w:r w:rsidRPr="008957C5">
        <w:rPr>
          <w:rFonts w:eastAsiaTheme="minorEastAsia"/>
          <w:lang w:val="en-US"/>
        </w:rPr>
        <w:t xml:space="preserve"> These findings highlight the importance of structured history taking focused on pain characteristics, temporal association with the menstrual cycle, symptom progression, impact on quality of life, and reproductive intentions</w:t>
      </w:r>
      <w:r w:rsidR="001524BA">
        <w:rPr>
          <w:rFonts w:eastAsiaTheme="minorEastAsia"/>
          <w:lang w:val="en-US"/>
        </w:rPr>
        <w:t>.</w:t>
      </w:r>
    </w:p>
    <w:p w14:paraId="46EEF144" w14:textId="22D7EDE4" w:rsidR="008957C5" w:rsidRPr="008957C5" w:rsidRDefault="008957C5" w:rsidP="008957C5">
      <w:pPr>
        <w:spacing w:line="360" w:lineRule="auto"/>
        <w:jc w:val="both"/>
        <w:rPr>
          <w:rFonts w:eastAsiaTheme="minorEastAsia"/>
          <w:lang w:val="en-US"/>
        </w:rPr>
      </w:pPr>
      <w:r w:rsidRPr="008957C5">
        <w:rPr>
          <w:rFonts w:eastAsiaTheme="minorEastAsia"/>
          <w:lang w:val="en-US"/>
        </w:rPr>
        <w:t>Adolescents represent a particularly challenging population, as endometriosis may present with atypical or treatment-resistant dysmenorrhea, often leading to underrecognition and diagnostic delay in this age group</w:t>
      </w:r>
      <w:r>
        <w:rPr>
          <w:rStyle w:val="Rimandonotadichiusura"/>
          <w:rFonts w:eastAsiaTheme="minorEastAsia"/>
          <w:lang w:val="en-US"/>
        </w:rPr>
        <w:endnoteReference w:id="243"/>
      </w:r>
      <w:r w:rsidR="003941F1">
        <w:rPr>
          <w:rFonts w:eastAsiaTheme="minorEastAsia"/>
          <w:lang w:val="en-US"/>
        </w:rPr>
        <w:t>.</w:t>
      </w:r>
    </w:p>
    <w:p w14:paraId="57AA8B2E" w14:textId="77777777" w:rsidR="008957C5" w:rsidRPr="00D3663A" w:rsidRDefault="008957C5" w:rsidP="008957C5">
      <w:pPr>
        <w:spacing w:line="360" w:lineRule="auto"/>
        <w:jc w:val="both"/>
        <w:rPr>
          <w:rFonts w:eastAsiaTheme="minorEastAsia"/>
          <w:i/>
          <w:iCs/>
          <w:lang w:val="en-US"/>
        </w:rPr>
      </w:pPr>
      <w:r w:rsidRPr="00D3663A">
        <w:rPr>
          <w:rFonts w:eastAsiaTheme="minorEastAsia"/>
          <w:i/>
          <w:iCs/>
          <w:lang w:val="en-US"/>
        </w:rPr>
        <w:t>Pelvic Physical Examination</w:t>
      </w:r>
    </w:p>
    <w:p w14:paraId="37C12B9B" w14:textId="0B67D64F" w:rsidR="003F4911" w:rsidRPr="003F4911" w:rsidRDefault="008957C5" w:rsidP="008957C5">
      <w:pPr>
        <w:spacing w:line="360" w:lineRule="auto"/>
        <w:jc w:val="both"/>
        <w:rPr>
          <w:rFonts w:eastAsiaTheme="minorEastAsia"/>
          <w:lang w:val="en-US"/>
        </w:rPr>
      </w:pPr>
      <w:r w:rsidRPr="008957C5">
        <w:rPr>
          <w:rFonts w:eastAsiaTheme="minorEastAsia"/>
          <w:lang w:val="en-US"/>
        </w:rPr>
        <w:t>Pelvic examination remains an important component of the diagnostic process, although its diagnostic accuracy is limited</w:t>
      </w:r>
      <w:r>
        <w:rPr>
          <w:rStyle w:val="Rimandonotadichiusura"/>
          <w:rFonts w:eastAsiaTheme="minorEastAsia"/>
          <w:lang w:val="en-US"/>
        </w:rPr>
        <w:endnoteReference w:id="244"/>
      </w:r>
      <w:r w:rsidR="003941F1">
        <w:rPr>
          <w:rFonts w:eastAsiaTheme="minorEastAsia"/>
          <w:lang w:val="en-US"/>
        </w:rPr>
        <w:t>.</w:t>
      </w:r>
      <w:r w:rsidRPr="008957C5">
        <w:rPr>
          <w:rFonts w:eastAsiaTheme="minorEastAsia"/>
          <w:lang w:val="en-US"/>
        </w:rPr>
        <w:t xml:space="preserve"> Typical abnormal findings may include a fixed retroverted uterus, tenderness or nodularity of shortened uterosacral ligaments, palpable </w:t>
      </w:r>
      <w:r w:rsidRPr="008957C5">
        <w:rPr>
          <w:rFonts w:eastAsiaTheme="minorEastAsia"/>
          <w:lang w:val="en-US"/>
        </w:rPr>
        <w:lastRenderedPageBreak/>
        <w:t>nodules in the posterior vaginal fornix suggestive of rectovaginal disease, adnexal masses consistent with ovarian endometriomas, and reduced ovarian mobility due to adhesions</w:t>
      </w:r>
      <w:r w:rsidR="001524BA">
        <w:rPr>
          <w:rFonts w:eastAsiaTheme="minorEastAsia"/>
          <w:vertAlign w:val="superscript"/>
          <w:lang w:val="en-US"/>
        </w:rPr>
        <w:t>197</w:t>
      </w:r>
      <w:r w:rsidR="001524BA">
        <w:rPr>
          <w:rFonts w:eastAsiaTheme="minorEastAsia"/>
          <w:lang w:val="en-US"/>
        </w:rPr>
        <w:t>.</w:t>
      </w:r>
      <w:r w:rsidR="003F4911">
        <w:rPr>
          <w:rFonts w:eastAsiaTheme="minorEastAsia"/>
          <w:lang w:val="en-US"/>
        </w:rPr>
        <w:t xml:space="preserve"> </w:t>
      </w:r>
      <w:r w:rsidRPr="008957C5">
        <w:rPr>
          <w:rFonts w:eastAsiaTheme="minorEastAsia"/>
          <w:lang w:val="en-US"/>
        </w:rPr>
        <w:t>However, a normal pelvic examination does not exclude endometriosis, particularly superficial peritoneal disease, underscoring the need for complementary imaging</w:t>
      </w:r>
      <w:r w:rsidR="001524BA" w:rsidRPr="001524BA">
        <w:rPr>
          <w:rFonts w:eastAsiaTheme="minorEastAsia"/>
          <w:vertAlign w:val="superscript"/>
          <w:lang w:val="en-US"/>
        </w:rPr>
        <w:t>197 183</w:t>
      </w:r>
      <w:r w:rsidR="003F4911">
        <w:rPr>
          <w:rFonts w:eastAsiaTheme="minorEastAsia"/>
          <w:lang w:val="en-US"/>
        </w:rPr>
        <w:t>.</w:t>
      </w:r>
    </w:p>
    <w:p w14:paraId="1E4817DC" w14:textId="555EFA9D" w:rsidR="008957C5" w:rsidRPr="00D3663A" w:rsidRDefault="008957C5" w:rsidP="008957C5">
      <w:pPr>
        <w:spacing w:line="360" w:lineRule="auto"/>
        <w:jc w:val="both"/>
        <w:rPr>
          <w:rFonts w:eastAsiaTheme="minorEastAsia"/>
          <w:i/>
          <w:iCs/>
          <w:lang w:val="en-US"/>
        </w:rPr>
      </w:pPr>
      <w:r w:rsidRPr="00D3663A">
        <w:rPr>
          <w:rFonts w:eastAsiaTheme="minorEastAsia"/>
          <w:i/>
          <w:iCs/>
          <w:lang w:val="en-US"/>
        </w:rPr>
        <w:t>Transvaginal Ultrasound (TVS)</w:t>
      </w:r>
    </w:p>
    <w:p w14:paraId="4EC8244B" w14:textId="4E297B37" w:rsidR="008957C5" w:rsidRPr="008957C5" w:rsidRDefault="008957C5" w:rsidP="008957C5">
      <w:pPr>
        <w:spacing w:line="360" w:lineRule="auto"/>
        <w:jc w:val="both"/>
        <w:rPr>
          <w:rFonts w:eastAsiaTheme="minorEastAsia"/>
          <w:lang w:val="en-US"/>
        </w:rPr>
      </w:pPr>
      <w:r w:rsidRPr="008957C5">
        <w:rPr>
          <w:rFonts w:eastAsiaTheme="minorEastAsia"/>
          <w:lang w:val="en-US"/>
        </w:rPr>
        <w:t>Transvaginal ultrasound is recommended as the first-line imaging modality for suspected endometriosis owing to its accessibility, cost-effectiveness, and high patient acceptability</w:t>
      </w:r>
      <w:r>
        <w:rPr>
          <w:rStyle w:val="Rimandonotadichiusura"/>
          <w:rFonts w:eastAsiaTheme="minorEastAsia"/>
          <w:lang w:val="en-US"/>
        </w:rPr>
        <w:endnoteReference w:id="245"/>
      </w:r>
      <w:r w:rsidR="003941F1">
        <w:rPr>
          <w:rFonts w:eastAsiaTheme="minorEastAsia"/>
          <w:lang w:val="en-US"/>
        </w:rPr>
        <w:t xml:space="preserve">. </w:t>
      </w:r>
      <w:r w:rsidRPr="008957C5">
        <w:rPr>
          <w:rFonts w:eastAsiaTheme="minorEastAsia"/>
          <w:lang w:val="en-US"/>
        </w:rPr>
        <w:t>TVS demonstrates high diagnostic accuracy for ovarian endometriomas and can identify alternative causes of pelvic pain while allowing dynamic assessment of organ mobilit</w:t>
      </w:r>
      <w:r w:rsidR="003941F1">
        <w:rPr>
          <w:rFonts w:eastAsiaTheme="minorEastAsia"/>
          <w:lang w:val="en-US"/>
        </w:rPr>
        <w:t>y</w:t>
      </w:r>
      <w:r>
        <w:rPr>
          <w:rStyle w:val="Rimandonotadichiusura"/>
          <w:rFonts w:eastAsiaTheme="minorEastAsia"/>
          <w:lang w:val="en-US"/>
        </w:rPr>
        <w:endnoteReference w:id="246"/>
      </w:r>
      <w:r w:rsidRPr="008957C5">
        <w:rPr>
          <w:rFonts w:eastAsiaTheme="minorEastAsia"/>
          <w:lang w:val="en-US"/>
        </w:rPr>
        <w:t>.</w:t>
      </w:r>
      <w:r w:rsidR="009A7234">
        <w:rPr>
          <w:rFonts w:eastAsiaTheme="minorEastAsia"/>
          <w:lang w:val="en-US"/>
        </w:rPr>
        <w:t xml:space="preserve"> </w:t>
      </w:r>
      <w:r w:rsidR="009A7234" w:rsidRPr="009A7234">
        <w:rPr>
          <w:rFonts w:eastAsiaTheme="minorEastAsia"/>
          <w:i/>
          <w:iCs/>
          <w:lang w:val="en-US"/>
        </w:rPr>
        <w:t>(Figure 9)</w:t>
      </w:r>
      <w:r w:rsidRPr="008957C5">
        <w:rPr>
          <w:rFonts w:eastAsiaTheme="minorEastAsia"/>
          <w:lang w:val="en-US"/>
        </w:rPr>
        <w:t xml:space="preserve"> When performed by expert operators, TVS has been shown to outperform routine ultrasound in detecting deep infiltrating endometriosis (DIE), although a substantial learning curve</w:t>
      </w:r>
      <w:r w:rsidR="00C956C5">
        <w:rPr>
          <w:rFonts w:eastAsiaTheme="minorEastAsia"/>
          <w:lang w:val="en-US"/>
        </w:rPr>
        <w:t xml:space="preserve">, </w:t>
      </w:r>
      <w:r w:rsidRPr="008957C5">
        <w:rPr>
          <w:rFonts w:eastAsiaTheme="minorEastAsia"/>
          <w:lang w:val="en-US"/>
        </w:rPr>
        <w:t>often exceeding 2,000 examinations</w:t>
      </w:r>
      <w:r w:rsidR="00C956C5">
        <w:rPr>
          <w:rFonts w:eastAsiaTheme="minorEastAsia"/>
          <w:lang w:val="en-US"/>
        </w:rPr>
        <w:t xml:space="preserve">, </w:t>
      </w:r>
      <w:r w:rsidRPr="008957C5">
        <w:rPr>
          <w:rFonts w:eastAsiaTheme="minorEastAsia"/>
          <w:lang w:val="en-US"/>
        </w:rPr>
        <w:t>is required to achieve proficiency</w:t>
      </w:r>
      <w:r w:rsidR="003E5095">
        <w:rPr>
          <w:rStyle w:val="Rimandonotadichiusura"/>
          <w:rFonts w:eastAsiaTheme="minorEastAsia"/>
          <w:lang w:val="en-US"/>
        </w:rPr>
        <w:endnoteReference w:id="247"/>
      </w:r>
      <w:r w:rsidR="003941F1">
        <w:rPr>
          <w:rFonts w:eastAsiaTheme="minorEastAsia"/>
          <w:lang w:val="en-US"/>
        </w:rPr>
        <w:t>.</w:t>
      </w:r>
    </w:p>
    <w:p w14:paraId="6F25351F" w14:textId="755AAD87" w:rsidR="008957C5" w:rsidRPr="008957C5" w:rsidRDefault="008957C5" w:rsidP="008957C5">
      <w:pPr>
        <w:spacing w:line="360" w:lineRule="auto"/>
        <w:jc w:val="both"/>
        <w:rPr>
          <w:rFonts w:eastAsiaTheme="minorEastAsia"/>
          <w:lang w:val="en-US"/>
        </w:rPr>
      </w:pPr>
      <w:r w:rsidRPr="008957C5">
        <w:rPr>
          <w:rFonts w:eastAsiaTheme="minorEastAsia"/>
          <w:lang w:val="en-US"/>
        </w:rPr>
        <w:t>Nevertheless, TVS is operator-dependent and has limited sensitivity for superficial peritoneal lesions and certain DIE locations, such as the rectovaginal septum and parametrium</w:t>
      </w:r>
      <w:r w:rsidR="003E5095">
        <w:rPr>
          <w:rStyle w:val="Rimandonotadichiusura"/>
          <w:rFonts w:eastAsiaTheme="minorEastAsia"/>
          <w:lang w:val="en-US"/>
        </w:rPr>
        <w:endnoteReference w:id="248"/>
      </w:r>
      <w:r w:rsidR="003941F1">
        <w:rPr>
          <w:rFonts w:eastAsiaTheme="minorEastAsia"/>
          <w:lang w:val="en-US"/>
        </w:rPr>
        <w:t>.</w:t>
      </w:r>
    </w:p>
    <w:p w14:paraId="57180C7F" w14:textId="30F6E370" w:rsidR="008957C5" w:rsidRPr="008957C5" w:rsidRDefault="008957C5" w:rsidP="008957C5">
      <w:pPr>
        <w:spacing w:line="360" w:lineRule="auto"/>
        <w:jc w:val="both"/>
        <w:rPr>
          <w:rFonts w:eastAsiaTheme="minorEastAsia"/>
          <w:lang w:val="en-US"/>
        </w:rPr>
      </w:pPr>
      <w:r w:rsidRPr="008957C5">
        <w:rPr>
          <w:rFonts w:eastAsiaTheme="minorEastAsia"/>
          <w:lang w:val="en-US"/>
        </w:rPr>
        <w:t>To standardize ultrasound assessment, the International Deep Endometriosis Analysis (IDEA) consensus recommends a structured four-step approach that includes routine evaluation of the uterus and adnexa, assessment of site-specific tenderness and ovarian mobility, real-time evaluation of the sliding sign to assess cul-de-sac obliteration, and systematic examination of anterior and posterior pelvic compartments for DIE nodules</w:t>
      </w:r>
      <w:r w:rsidR="001524BA">
        <w:rPr>
          <w:rFonts w:eastAsiaTheme="minorEastAsia"/>
          <w:vertAlign w:val="superscript"/>
          <w:lang w:val="en-US"/>
        </w:rPr>
        <w:t>245</w:t>
      </w:r>
      <w:r w:rsidR="003E5095">
        <w:rPr>
          <w:rFonts w:eastAsiaTheme="minorEastAsia"/>
          <w:lang w:val="en-US"/>
        </w:rPr>
        <w:t>.</w:t>
      </w:r>
      <w:r w:rsidRPr="008957C5">
        <w:rPr>
          <w:rFonts w:eastAsiaTheme="minorEastAsia"/>
          <w:lang w:val="en-US"/>
        </w:rPr>
        <w:t xml:space="preserve"> This protocol has significantly improved the reproducibility and diagnostic performance of TVS in expert hands</w:t>
      </w:r>
      <w:r w:rsidR="003E5095">
        <w:rPr>
          <w:rFonts w:eastAsiaTheme="minorEastAsia"/>
          <w:lang w:val="en-US"/>
        </w:rPr>
        <w:t xml:space="preserve">. </w:t>
      </w:r>
    </w:p>
    <w:p w14:paraId="47F31C91" w14:textId="4DE579D8" w:rsidR="008957C5" w:rsidRPr="008957C5" w:rsidRDefault="008957C5" w:rsidP="008957C5">
      <w:pPr>
        <w:spacing w:line="360" w:lineRule="auto"/>
        <w:jc w:val="both"/>
        <w:rPr>
          <w:rFonts w:eastAsiaTheme="minorEastAsia"/>
          <w:lang w:val="en-US"/>
        </w:rPr>
      </w:pPr>
      <w:r w:rsidRPr="008957C5">
        <w:rPr>
          <w:rFonts w:eastAsiaTheme="minorEastAsia"/>
          <w:lang w:val="en-US"/>
        </w:rPr>
        <w:t>Magnetic resonance imaging is recommended as a second-line modality following TVS or when ultrasound is not feasible or acceptable, such as in virginal patients or those unable to tolerate transvaginal examinatio</w:t>
      </w:r>
      <w:r w:rsidR="00FC5480">
        <w:rPr>
          <w:rFonts w:eastAsiaTheme="minorEastAsia"/>
          <w:lang w:val="en-US"/>
        </w:rPr>
        <w:t>n</w:t>
      </w:r>
      <w:r w:rsidR="003E5095">
        <w:rPr>
          <w:rStyle w:val="Rimandonotadichiusura"/>
          <w:rFonts w:eastAsiaTheme="minorEastAsia"/>
          <w:lang w:val="en-US"/>
        </w:rPr>
        <w:endnoteReference w:id="249"/>
      </w:r>
      <w:r w:rsidR="003941F1">
        <w:rPr>
          <w:rFonts w:eastAsiaTheme="minorEastAsia"/>
          <w:lang w:val="en-US"/>
        </w:rPr>
        <w:t xml:space="preserve">. </w:t>
      </w:r>
      <w:r w:rsidRPr="008957C5">
        <w:rPr>
          <w:rFonts w:eastAsiaTheme="minorEastAsia"/>
          <w:lang w:val="en-US"/>
        </w:rPr>
        <w:t>MRI provides a comprehensive anatomical overview of the pelvis and demonstrates sensitivity and specificity exceeding 90% for DIE when interpreted by experienced radiologists</w:t>
      </w:r>
      <w:r w:rsidR="003E5095">
        <w:rPr>
          <w:rStyle w:val="Rimandonotadichiusura"/>
          <w:rFonts w:eastAsiaTheme="minorEastAsia"/>
          <w:lang w:val="en-US"/>
        </w:rPr>
        <w:endnoteReference w:id="250"/>
      </w:r>
      <w:r w:rsidR="003941F1">
        <w:rPr>
          <w:rFonts w:eastAsiaTheme="minorEastAsia"/>
          <w:lang w:val="en-US"/>
        </w:rPr>
        <w:t xml:space="preserve">. </w:t>
      </w:r>
      <w:r w:rsidRPr="008957C5">
        <w:rPr>
          <w:rFonts w:eastAsiaTheme="minorEastAsia"/>
          <w:lang w:val="en-US"/>
        </w:rPr>
        <w:t>It is particularly valuable for detecting adenomyosis, retroperitoneal disease, and parametrial or ureteral involvement</w:t>
      </w:r>
      <w:r w:rsidR="003E5095">
        <w:rPr>
          <w:rStyle w:val="Rimandonotadichiusura"/>
          <w:rFonts w:eastAsiaTheme="minorEastAsia"/>
          <w:lang w:val="en-US"/>
        </w:rPr>
        <w:endnoteReference w:id="251"/>
      </w:r>
      <w:r w:rsidR="003941F1">
        <w:rPr>
          <w:rFonts w:eastAsiaTheme="minorEastAsia"/>
          <w:lang w:val="en-US"/>
        </w:rPr>
        <w:t>.</w:t>
      </w:r>
    </w:p>
    <w:p w14:paraId="549BD20C" w14:textId="424C6A7B" w:rsidR="008957C5" w:rsidRPr="008957C5" w:rsidRDefault="008957C5" w:rsidP="008957C5">
      <w:pPr>
        <w:spacing w:line="360" w:lineRule="auto"/>
        <w:jc w:val="both"/>
        <w:rPr>
          <w:rFonts w:eastAsiaTheme="minorEastAsia"/>
          <w:lang w:val="en-US"/>
        </w:rPr>
      </w:pPr>
      <w:r w:rsidRPr="008957C5">
        <w:rPr>
          <w:rFonts w:eastAsiaTheme="minorEastAsia"/>
          <w:lang w:val="en-US"/>
        </w:rPr>
        <w:lastRenderedPageBreak/>
        <w:t>Despite these advantages, MRI is costly, less widely available, time-consuming, and shares the limitation of poor sensitivity for superficial peritoneal disease</w:t>
      </w:r>
      <w:r w:rsidR="001524BA">
        <w:rPr>
          <w:rFonts w:eastAsiaTheme="minorEastAsia"/>
          <w:vertAlign w:val="superscript"/>
          <w:lang w:val="en-US"/>
        </w:rPr>
        <w:t>209</w:t>
      </w:r>
      <w:r w:rsidR="003E5095">
        <w:rPr>
          <w:rFonts w:eastAsiaTheme="minorEastAsia"/>
          <w:lang w:val="en-US"/>
        </w:rPr>
        <w:t>.</w:t>
      </w:r>
    </w:p>
    <w:p w14:paraId="4418F2EE" w14:textId="0F00C5A7" w:rsidR="008957C5" w:rsidRPr="008957C5" w:rsidRDefault="008957C5" w:rsidP="008957C5">
      <w:pPr>
        <w:spacing w:line="360" w:lineRule="auto"/>
        <w:jc w:val="both"/>
        <w:rPr>
          <w:rFonts w:eastAsiaTheme="minorEastAsia"/>
          <w:lang w:val="en-US"/>
        </w:rPr>
      </w:pPr>
      <w:r w:rsidRPr="008957C5">
        <w:rPr>
          <w:rFonts w:eastAsiaTheme="minorEastAsia"/>
          <w:lang w:val="en-US"/>
        </w:rPr>
        <w:t>Diagnostic laparoscopy is no longer recommended as a routine first-line diagnostic tool in international guidelines</w:t>
      </w:r>
      <w:r w:rsidR="003E5095">
        <w:rPr>
          <w:rFonts w:eastAsiaTheme="minorEastAsia"/>
          <w:lang w:val="en-US"/>
        </w:rPr>
        <w:t>.</w:t>
      </w:r>
      <w:r w:rsidRPr="008957C5">
        <w:rPr>
          <w:rFonts w:eastAsiaTheme="minorEastAsia"/>
          <w:lang w:val="en-US"/>
        </w:rPr>
        <w:t xml:space="preserve"> Its use is discouraged because it does not constitute definitive treatment, carries inherent surgical risks, and may delay symptom management</w:t>
      </w:r>
      <w:r w:rsidR="00F32C6F">
        <w:rPr>
          <w:rFonts w:eastAsiaTheme="minorEastAsia"/>
          <w:vertAlign w:val="superscript"/>
          <w:lang w:val="en-US"/>
        </w:rPr>
        <w:t>225</w:t>
      </w:r>
      <w:r w:rsidR="003E5095">
        <w:rPr>
          <w:rFonts w:eastAsiaTheme="minorEastAsia"/>
          <w:lang w:val="en-US"/>
        </w:rPr>
        <w:t>.</w:t>
      </w:r>
      <w:r w:rsidRPr="008957C5">
        <w:rPr>
          <w:rFonts w:eastAsiaTheme="minorEastAsia"/>
          <w:lang w:val="en-US"/>
        </w:rPr>
        <w:t xml:space="preserve"> However, laparoscopic surgery with complete excision of lesions remains the gold standard for therapeutic management of deep infiltrating endometriosis when surgery is indicated, allowing both histological confirmation and symptom-directed treatment</w:t>
      </w:r>
      <w:r w:rsidR="003E5095">
        <w:rPr>
          <w:rStyle w:val="Rimandonotadichiusura"/>
          <w:rFonts w:eastAsiaTheme="minorEastAsia"/>
          <w:lang w:val="en-US"/>
        </w:rPr>
        <w:endnoteReference w:id="252"/>
      </w:r>
      <w:r w:rsidR="003941F1">
        <w:rPr>
          <w:rFonts w:eastAsiaTheme="minorEastAsia"/>
          <w:lang w:val="en-US"/>
        </w:rPr>
        <w:t>.</w:t>
      </w:r>
    </w:p>
    <w:p w14:paraId="09415602" w14:textId="62153474" w:rsidR="00D3663A" w:rsidRPr="00D3663A" w:rsidRDefault="00D3663A" w:rsidP="00D3663A">
      <w:pPr>
        <w:spacing w:line="360" w:lineRule="auto"/>
        <w:jc w:val="both"/>
        <w:rPr>
          <w:rFonts w:eastAsiaTheme="minorEastAsia"/>
          <w:lang w:val="en-US"/>
        </w:rPr>
      </w:pPr>
      <w:r w:rsidRPr="00D3663A">
        <w:rPr>
          <w:rFonts w:eastAsiaTheme="minorEastAsia"/>
          <w:lang w:val="en-US"/>
        </w:rPr>
        <w:t>Although imaging and laparoscopic evaluation remain the cornerstones of endometriosis diagnosis, numerous studies have investigated the potential utility of biochemical biomarkers in supporting diagnosis and stratifying disease severity</w:t>
      </w:r>
      <w:r w:rsidR="00AB45E6" w:rsidRPr="00AB45E6">
        <w:rPr>
          <w:rStyle w:val="Rimandonotadichiusura"/>
          <w:rFonts w:eastAsiaTheme="minorEastAsia"/>
          <w:lang w:val="en-US"/>
        </w:rPr>
        <w:endnoteReference w:id="253"/>
      </w:r>
      <w:r w:rsidR="00AB45E6" w:rsidRPr="00AB45E6">
        <w:rPr>
          <w:rFonts w:eastAsiaTheme="minorEastAsia"/>
          <w:lang w:val="en-US"/>
        </w:rPr>
        <w:t>.</w:t>
      </w:r>
      <w:r w:rsidRPr="00D3663A">
        <w:rPr>
          <w:rFonts w:eastAsiaTheme="minorEastAsia"/>
          <w:lang w:val="en-US"/>
        </w:rPr>
        <w:t xml:space="preserve"> Biomarkers may provide additional insight into the underlying biology of endometriosis and help identify patients with more active or extensive disease, even if no single marker has yet demonstrated sufficient diagnostic accuracy to replace standard methods</w:t>
      </w:r>
      <w:r w:rsidR="00AB45E6" w:rsidRPr="00AB45E6">
        <w:rPr>
          <w:rStyle w:val="Rimandonotadichiusura"/>
          <w:rFonts w:eastAsiaTheme="minorEastAsia"/>
          <w:lang w:val="en-US"/>
        </w:rPr>
        <w:endnoteReference w:id="254"/>
      </w:r>
      <w:r w:rsidR="00AB45E6" w:rsidRPr="00AB45E6">
        <w:rPr>
          <w:rStyle w:val="Rimandonotadichiusura"/>
          <w:rFonts w:eastAsiaTheme="minorEastAsia"/>
          <w:lang w:val="en-US"/>
        </w:rPr>
        <w:endnoteReference w:id="255"/>
      </w:r>
      <w:r w:rsidR="00AB45E6" w:rsidRPr="00AB45E6">
        <w:rPr>
          <w:rFonts w:eastAsiaTheme="minorEastAsia"/>
          <w:lang w:val="en-US"/>
        </w:rPr>
        <w:t>.</w:t>
      </w:r>
    </w:p>
    <w:p w14:paraId="2A8D531C" w14:textId="26730D2D" w:rsidR="00D3663A" w:rsidRPr="00D3663A" w:rsidRDefault="00D3663A" w:rsidP="00D3663A">
      <w:pPr>
        <w:spacing w:line="360" w:lineRule="auto"/>
        <w:jc w:val="both"/>
        <w:rPr>
          <w:rFonts w:eastAsiaTheme="minorEastAsia"/>
          <w:lang w:val="en-US"/>
        </w:rPr>
      </w:pPr>
      <w:r w:rsidRPr="00D3663A">
        <w:rPr>
          <w:rFonts w:eastAsiaTheme="minorEastAsia"/>
          <w:lang w:val="en-US"/>
        </w:rPr>
        <w:t>In the peritoneal fluid of women with endometriosis, a distinct pro-inflammatory milieu has been consistently reported. Levels of cytokines such as interleukin-6 (IL-6), interleukin-8 (IL-8), tumor necrosis factor-</w:t>
      </w:r>
      <w:r w:rsidRPr="00D3663A">
        <w:rPr>
          <w:rFonts w:eastAsiaTheme="minorEastAsia"/>
        </w:rPr>
        <w:t>α</w:t>
      </w:r>
      <w:r w:rsidRPr="00D3663A">
        <w:rPr>
          <w:rFonts w:eastAsiaTheme="minorEastAsia"/>
          <w:lang w:val="en-US"/>
        </w:rPr>
        <w:t xml:space="preserve"> (TNF-</w:t>
      </w:r>
      <w:r w:rsidRPr="00D3663A">
        <w:rPr>
          <w:rFonts w:eastAsiaTheme="minorEastAsia"/>
        </w:rPr>
        <w:t>α</w:t>
      </w:r>
      <w:r w:rsidRPr="00D3663A">
        <w:rPr>
          <w:rFonts w:eastAsiaTheme="minorEastAsia"/>
          <w:lang w:val="en-US"/>
        </w:rPr>
        <w:t>), and interleukin-1</w:t>
      </w:r>
      <w:r w:rsidRPr="00D3663A">
        <w:rPr>
          <w:rFonts w:eastAsiaTheme="minorEastAsia"/>
        </w:rPr>
        <w:t>β</w:t>
      </w:r>
      <w:r w:rsidRPr="00D3663A">
        <w:rPr>
          <w:rFonts w:eastAsiaTheme="minorEastAsia"/>
          <w:lang w:val="en-US"/>
        </w:rPr>
        <w:t xml:space="preserve"> (IL-1</w:t>
      </w:r>
      <w:r w:rsidRPr="00D3663A">
        <w:rPr>
          <w:rFonts w:eastAsiaTheme="minorEastAsia"/>
        </w:rPr>
        <w:t>β</w:t>
      </w:r>
      <w:r w:rsidRPr="00D3663A">
        <w:rPr>
          <w:rFonts w:eastAsiaTheme="minorEastAsia"/>
          <w:lang w:val="en-US"/>
        </w:rPr>
        <w:t>) are elevated compared with controls, reflecting ongoing local inflammation and immune activation. Increased concentrations of macrophage populations, identified by markers such as CD14 and CD68, further support the presence of innate immune cell recruitment within the peritoneal environment. Additionally, elevated levels of vascular endothelial growth factor (VEGF) in peritoneal fluid indicate enhanced angiogenic activity, a process essential for ectopic lesion establishment and persistence</w:t>
      </w:r>
      <w:r w:rsidR="009540C1">
        <w:rPr>
          <w:rFonts w:eastAsiaTheme="minorEastAsia"/>
          <w:vertAlign w:val="superscript"/>
          <w:lang w:val="en-US"/>
        </w:rPr>
        <w:t>75</w:t>
      </w:r>
      <w:r w:rsidRPr="00D3663A">
        <w:rPr>
          <w:rFonts w:eastAsiaTheme="minorEastAsia"/>
          <w:lang w:val="en-US"/>
        </w:rPr>
        <w:t xml:space="preserve">. </w:t>
      </w:r>
    </w:p>
    <w:p w14:paraId="21302F33" w14:textId="6F15B495" w:rsidR="00D3663A" w:rsidRPr="009540C1" w:rsidRDefault="00D3663A" w:rsidP="00D3663A">
      <w:pPr>
        <w:spacing w:line="360" w:lineRule="auto"/>
        <w:jc w:val="both"/>
        <w:rPr>
          <w:rFonts w:eastAsiaTheme="minorEastAsia"/>
          <w:lang w:val="en-US"/>
        </w:rPr>
      </w:pPr>
      <w:r w:rsidRPr="00D3663A">
        <w:rPr>
          <w:rFonts w:eastAsiaTheme="minorEastAsia"/>
          <w:lang w:val="en-US"/>
        </w:rPr>
        <w:t>Serum biomarkers have also been explored, although they tend to be less specific. Circulating pro-inflammatory cytokines such as IL-6 and IL-8 may reflect systemic inflammation associated with active endometriosis, but they lack specificity for endometriotic disease. The cancer antigen CA-125 remains the most extensively studied serum marker; while elevated CA-125 levels are associated with moderate to severe endometriosis, the marker’s sensitivity and specificity are insufficient for use as a standalone diagnostic test. Nonetheless, CA-125 may be useful in disease monitoring and in conjunction with clinical and imaging findings</w:t>
      </w:r>
      <w:r w:rsidR="009540C1">
        <w:rPr>
          <w:rFonts w:eastAsiaTheme="minorEastAsia"/>
          <w:vertAlign w:val="superscript"/>
          <w:lang w:val="en-US"/>
        </w:rPr>
        <w:t>246</w:t>
      </w:r>
      <w:r w:rsidRPr="00D3663A">
        <w:rPr>
          <w:rFonts w:eastAsiaTheme="minorEastAsia"/>
          <w:lang w:val="en-US"/>
        </w:rPr>
        <w:t>.</w:t>
      </w:r>
    </w:p>
    <w:p w14:paraId="508F7B30" w14:textId="26CD3C8C" w:rsidR="00D3663A" w:rsidRPr="00F97FD6" w:rsidRDefault="00D3663A" w:rsidP="00D3663A">
      <w:pPr>
        <w:spacing w:line="360" w:lineRule="auto"/>
        <w:jc w:val="both"/>
        <w:rPr>
          <w:rFonts w:eastAsiaTheme="minorEastAsia"/>
          <w:i/>
          <w:iCs/>
          <w:lang w:val="en-US"/>
        </w:rPr>
      </w:pPr>
      <w:r w:rsidRPr="00F97FD6">
        <w:rPr>
          <w:rFonts w:eastAsiaTheme="minorEastAsia"/>
          <w:i/>
          <w:iCs/>
          <w:lang w:val="en-US"/>
        </w:rPr>
        <w:t>Endometrial Tissue Biomarker</w:t>
      </w:r>
    </w:p>
    <w:p w14:paraId="5FEDC126" w14:textId="795CA1C0" w:rsidR="00D3663A" w:rsidRPr="00D3663A" w:rsidRDefault="00D3663A" w:rsidP="00290211">
      <w:pPr>
        <w:spacing w:line="360" w:lineRule="auto"/>
        <w:jc w:val="both"/>
        <w:rPr>
          <w:rFonts w:eastAsiaTheme="minorEastAsia"/>
          <w:lang w:val="en-US"/>
        </w:rPr>
      </w:pPr>
      <w:r w:rsidRPr="00D3663A">
        <w:rPr>
          <w:rFonts w:eastAsiaTheme="minorEastAsia"/>
          <w:lang w:val="en-US"/>
        </w:rPr>
        <w:lastRenderedPageBreak/>
        <w:t>Analyses of eutopic endometrial tissue from women with endometriosis have revealed molecular alterations that may reflect local pathophysiological processes. Increased expression of aromatase (CYP19A1) within endometrial tissues is thought to contribute to localized estrogen production, reinforcing proliferative and inflammatory signaling within ectopic lesions. Altered expression of progesterone receptors, particularly reduced progesterone receptor B relative to A, has been documented and is interpreted as evidence of progesterone resistance, a feature implicated in abnormal endometrial receptivity and lesion persistence. Elevated expression of multiple endometrial cytokines and chemokines also characterizes tissues from affected women, consistent with a pro-inflammatory microenvironment that may underlie both lesion establishment and associated</w:t>
      </w:r>
      <w:r>
        <w:rPr>
          <w:rFonts w:eastAsiaTheme="minorEastAsia"/>
          <w:lang w:val="en-US"/>
        </w:rPr>
        <w:t xml:space="preserve"> </w:t>
      </w:r>
      <w:r w:rsidRPr="009540C1">
        <w:rPr>
          <w:rFonts w:eastAsiaTheme="minorEastAsia"/>
          <w:lang w:val="en-US"/>
        </w:rPr>
        <w:t>symptoms</w:t>
      </w:r>
      <w:r w:rsidR="009540C1" w:rsidRPr="009540C1">
        <w:rPr>
          <w:rFonts w:eastAsiaTheme="minorEastAsia"/>
          <w:vertAlign w:val="superscript"/>
          <w:lang w:val="en-US"/>
        </w:rPr>
        <w:t>220</w:t>
      </w:r>
      <w:r w:rsidRPr="009540C1">
        <w:rPr>
          <w:rFonts w:eastAsiaTheme="minorEastAsia"/>
          <w:lang w:val="en-US"/>
        </w:rPr>
        <w:t>.</w:t>
      </w:r>
    </w:p>
    <w:p w14:paraId="1CCCA693" w14:textId="6704B282" w:rsidR="006A3A0A" w:rsidRDefault="006A3A0A" w:rsidP="00290211">
      <w:pPr>
        <w:spacing w:line="360" w:lineRule="auto"/>
        <w:jc w:val="both"/>
        <w:rPr>
          <w:rFonts w:eastAsiaTheme="minorEastAsia"/>
          <w:lang w:val="en-US"/>
        </w:rPr>
      </w:pPr>
      <w:r>
        <w:rPr>
          <w:noProof/>
          <w:color w:val="000000" w:themeColor="text1"/>
          <w:lang w:val="en-US"/>
        </w:rPr>
        <w:drawing>
          <wp:inline distT="0" distB="0" distL="0" distR="0" wp14:anchorId="3A4120B6" wp14:editId="3827F4A7">
            <wp:extent cx="4032570" cy="2707047"/>
            <wp:effectExtent l="0" t="0" r="6350" b="0"/>
            <wp:docPr id="181559484" name="Immagine 14" descr="Immagine che contiene schermata, med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9484" name="Immagine 14" descr="Immagine che contiene schermata, medico&#10;&#10;Descrizione generata automaticamente"/>
                    <pic:cNvPicPr/>
                  </pic:nvPicPr>
                  <pic:blipFill>
                    <a:blip r:embed="rId18"/>
                    <a:stretch>
                      <a:fillRect/>
                    </a:stretch>
                  </pic:blipFill>
                  <pic:spPr>
                    <a:xfrm>
                      <a:off x="0" y="0"/>
                      <a:ext cx="4051784" cy="2719945"/>
                    </a:xfrm>
                    <a:prstGeom prst="rect">
                      <a:avLst/>
                    </a:prstGeom>
                  </pic:spPr>
                </pic:pic>
              </a:graphicData>
            </a:graphic>
          </wp:inline>
        </w:drawing>
      </w:r>
    </w:p>
    <w:p w14:paraId="6A8BF43D" w14:textId="77777777" w:rsidR="003F4911" w:rsidRDefault="006327D7" w:rsidP="006327D7">
      <w:pPr>
        <w:jc w:val="both"/>
        <w:rPr>
          <w:rFonts w:eastAsiaTheme="minorEastAsia"/>
          <w:b/>
          <w:bCs/>
          <w:sz w:val="18"/>
          <w:szCs w:val="18"/>
          <w:lang w:val="en-US"/>
        </w:rPr>
      </w:pPr>
      <w:r w:rsidRPr="006327D7">
        <w:rPr>
          <w:rFonts w:eastAsiaTheme="minorEastAsia"/>
          <w:b/>
          <w:bCs/>
          <w:sz w:val="18"/>
          <w:szCs w:val="18"/>
          <w:lang w:val="en-US"/>
        </w:rPr>
        <w:t>Figure 8. Anatomical distribution of endometriotic lesions within the pelvic cavity.</w:t>
      </w:r>
    </w:p>
    <w:p w14:paraId="68DB142C" w14:textId="1625B0EA" w:rsidR="006327D7" w:rsidRDefault="006327D7" w:rsidP="006327D7">
      <w:pPr>
        <w:jc w:val="both"/>
        <w:rPr>
          <w:rFonts w:eastAsiaTheme="minorEastAsia"/>
          <w:sz w:val="18"/>
          <w:szCs w:val="18"/>
          <w:lang w:val="en-US"/>
        </w:rPr>
      </w:pPr>
      <w:r w:rsidRPr="006327D7">
        <w:rPr>
          <w:rFonts w:eastAsiaTheme="minorEastAsia"/>
          <w:sz w:val="18"/>
          <w:szCs w:val="18"/>
          <w:lang w:val="en-US"/>
        </w:rPr>
        <w:t>Schematic illustration showing common sites and morphological types of endometriosis, including superficial peritoneal lesions, ovarian endometriomas, deep infiltrating endometriotic lesions, adhesions, and inflammatory involvement of pelvic structures.</w:t>
      </w:r>
    </w:p>
    <w:p w14:paraId="5A2F6EF7" w14:textId="4B6503CA" w:rsidR="009A7234" w:rsidRDefault="009A7234" w:rsidP="006327D7">
      <w:pPr>
        <w:jc w:val="both"/>
        <w:rPr>
          <w:rFonts w:eastAsiaTheme="minorEastAsia"/>
          <w:sz w:val="18"/>
          <w:szCs w:val="18"/>
          <w:lang w:val="en-US"/>
        </w:rPr>
      </w:pPr>
      <w:r>
        <w:rPr>
          <w:rFonts w:eastAsiaTheme="minorEastAsia"/>
          <w:noProof/>
          <w:sz w:val="18"/>
          <w:szCs w:val="18"/>
          <w:lang w:val="en-US"/>
        </w:rPr>
        <w:lastRenderedPageBreak/>
        <w:drawing>
          <wp:inline distT="0" distB="0" distL="0" distR="0" wp14:anchorId="7D4F4B20" wp14:editId="54DB801D">
            <wp:extent cx="3871282" cy="2403776"/>
            <wp:effectExtent l="0" t="0" r="2540" b="0"/>
            <wp:docPr id="962556151" name="Immagine 16" descr="Immagine che contiene Imaging medicale, Ecografia ostetrica, radiologia, med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56151" name="Immagine 16" descr="Immagine che contiene Imaging medicale, Ecografia ostetrica, radiologia, medico&#10;&#10;Descrizione generata automaticamente"/>
                    <pic:cNvPicPr/>
                  </pic:nvPicPr>
                  <pic:blipFill>
                    <a:blip r:embed="rId19"/>
                    <a:stretch>
                      <a:fillRect/>
                    </a:stretch>
                  </pic:blipFill>
                  <pic:spPr>
                    <a:xfrm>
                      <a:off x="0" y="0"/>
                      <a:ext cx="3885562" cy="2412643"/>
                    </a:xfrm>
                    <a:prstGeom prst="rect">
                      <a:avLst/>
                    </a:prstGeom>
                  </pic:spPr>
                </pic:pic>
              </a:graphicData>
            </a:graphic>
          </wp:inline>
        </w:drawing>
      </w:r>
    </w:p>
    <w:p w14:paraId="497CD653" w14:textId="77777777" w:rsidR="009A7234" w:rsidRDefault="009A7234" w:rsidP="006327D7">
      <w:pPr>
        <w:jc w:val="both"/>
        <w:rPr>
          <w:rFonts w:eastAsiaTheme="minorEastAsia"/>
          <w:sz w:val="18"/>
          <w:szCs w:val="18"/>
          <w:lang w:val="en-US"/>
        </w:rPr>
      </w:pPr>
    </w:p>
    <w:p w14:paraId="18B70F1E" w14:textId="77777777" w:rsidR="003F4911" w:rsidRDefault="009A7234" w:rsidP="009A7234">
      <w:pPr>
        <w:jc w:val="both"/>
        <w:rPr>
          <w:rFonts w:eastAsiaTheme="minorEastAsia"/>
          <w:b/>
          <w:bCs/>
          <w:sz w:val="18"/>
          <w:szCs w:val="18"/>
          <w:lang w:val="en-US"/>
        </w:rPr>
      </w:pPr>
      <w:r w:rsidRPr="009A7234">
        <w:rPr>
          <w:rFonts w:eastAsiaTheme="minorEastAsia"/>
          <w:b/>
          <w:bCs/>
          <w:sz w:val="18"/>
          <w:szCs w:val="18"/>
          <w:lang w:val="en-US"/>
        </w:rPr>
        <w:t xml:space="preserve">Figure </w:t>
      </w:r>
      <w:r>
        <w:rPr>
          <w:rFonts w:eastAsiaTheme="minorEastAsia"/>
          <w:b/>
          <w:bCs/>
          <w:sz w:val="18"/>
          <w:szCs w:val="18"/>
          <w:lang w:val="en-US"/>
        </w:rPr>
        <w:t>9</w:t>
      </w:r>
      <w:r w:rsidRPr="009A7234">
        <w:rPr>
          <w:rFonts w:eastAsiaTheme="minorEastAsia"/>
          <w:b/>
          <w:bCs/>
          <w:sz w:val="18"/>
          <w:szCs w:val="18"/>
          <w:lang w:val="en-US"/>
        </w:rPr>
        <w:t>. Transvaginal ultrasound image of an ovarian endometrioma.</w:t>
      </w:r>
    </w:p>
    <w:p w14:paraId="138DA7DE" w14:textId="41CBBDF3" w:rsidR="009A7234" w:rsidRDefault="009A7234" w:rsidP="009A7234">
      <w:pPr>
        <w:jc w:val="both"/>
        <w:rPr>
          <w:rFonts w:eastAsiaTheme="minorEastAsia"/>
          <w:sz w:val="18"/>
          <w:szCs w:val="18"/>
          <w:lang w:val="en-US"/>
        </w:rPr>
      </w:pPr>
      <w:r w:rsidRPr="009A7234">
        <w:rPr>
          <w:rFonts w:eastAsiaTheme="minorEastAsia"/>
          <w:sz w:val="18"/>
          <w:szCs w:val="18"/>
          <w:lang w:val="en-US"/>
        </w:rPr>
        <w:t>The image shows a cystic ovarian lesion with homogeneous low-level internal echoes, consistent with the typical “ground-glass” appearance of an endometrioma.</w:t>
      </w:r>
    </w:p>
    <w:p w14:paraId="2F2D158D" w14:textId="77777777" w:rsidR="009A7234" w:rsidRDefault="009A7234" w:rsidP="006327D7">
      <w:pPr>
        <w:jc w:val="both"/>
        <w:rPr>
          <w:rFonts w:eastAsiaTheme="minorEastAsia"/>
          <w:sz w:val="18"/>
          <w:szCs w:val="18"/>
          <w:lang w:val="en-US"/>
        </w:rPr>
      </w:pPr>
    </w:p>
    <w:p w14:paraId="41EE24FD" w14:textId="77777777" w:rsidR="000D4C09" w:rsidRPr="006327D7" w:rsidRDefault="000D4C09" w:rsidP="006327D7">
      <w:pPr>
        <w:jc w:val="both"/>
        <w:rPr>
          <w:rFonts w:eastAsiaTheme="minorEastAsia"/>
          <w:sz w:val="18"/>
          <w:szCs w:val="18"/>
          <w:lang w:val="en-US"/>
        </w:rPr>
      </w:pPr>
    </w:p>
    <w:p w14:paraId="1C2023FF" w14:textId="641B5920" w:rsidR="00290211" w:rsidRPr="000D4C09" w:rsidRDefault="00290211" w:rsidP="00290211">
      <w:pPr>
        <w:pStyle w:val="Titolo3"/>
        <w:spacing w:line="360" w:lineRule="auto"/>
        <w:rPr>
          <w:i/>
          <w:iCs/>
          <w:sz w:val="28"/>
          <w:szCs w:val="28"/>
          <w:lang w:val="en-US"/>
        </w:rPr>
      </w:pPr>
      <w:bookmarkStart w:id="22" w:name="_Toc219243286"/>
      <w:r w:rsidRPr="000D4C09">
        <w:rPr>
          <w:i/>
          <w:iCs/>
          <w:sz w:val="28"/>
          <w:szCs w:val="28"/>
          <w:lang w:val="en-US"/>
        </w:rPr>
        <w:t>1.2.</w:t>
      </w:r>
      <w:r w:rsidR="000D4C09" w:rsidRPr="000D4C09">
        <w:rPr>
          <w:i/>
          <w:iCs/>
          <w:sz w:val="28"/>
          <w:szCs w:val="28"/>
          <w:lang w:val="en-US"/>
        </w:rPr>
        <w:t>2</w:t>
      </w:r>
      <w:r w:rsidRPr="000D4C09">
        <w:rPr>
          <w:i/>
          <w:iCs/>
          <w:sz w:val="28"/>
          <w:szCs w:val="28"/>
          <w:lang w:val="en-US"/>
        </w:rPr>
        <w:t>.</w:t>
      </w:r>
      <w:r w:rsidR="000D4C09" w:rsidRPr="000D4C09">
        <w:rPr>
          <w:i/>
          <w:iCs/>
          <w:sz w:val="28"/>
          <w:szCs w:val="28"/>
          <w:lang w:val="en-US"/>
        </w:rPr>
        <w:t>3</w:t>
      </w:r>
      <w:r w:rsidRPr="000D4C09">
        <w:rPr>
          <w:i/>
          <w:iCs/>
          <w:sz w:val="28"/>
          <w:szCs w:val="28"/>
          <w:lang w:val="en-US"/>
        </w:rPr>
        <w:t xml:space="preserve"> </w:t>
      </w:r>
      <w:r w:rsidR="00AB45E6" w:rsidRPr="000D4C09">
        <w:rPr>
          <w:i/>
          <w:iCs/>
          <w:sz w:val="28"/>
          <w:szCs w:val="28"/>
          <w:lang w:val="en-US"/>
        </w:rPr>
        <w:t>Management and Treatment of Endometriosis</w:t>
      </w:r>
      <w:bookmarkEnd w:id="22"/>
    </w:p>
    <w:p w14:paraId="4D0B079E" w14:textId="77777777" w:rsidR="00AB45E6" w:rsidRPr="00AB45E6" w:rsidRDefault="00AB45E6" w:rsidP="00290211">
      <w:pPr>
        <w:widowControl w:val="0"/>
        <w:autoSpaceDE w:val="0"/>
        <w:autoSpaceDN w:val="0"/>
        <w:adjustRightInd w:val="0"/>
        <w:spacing w:line="360" w:lineRule="auto"/>
        <w:jc w:val="both"/>
        <w:rPr>
          <w:color w:val="000000" w:themeColor="text1"/>
          <w:lang w:val="en-US"/>
        </w:rPr>
      </w:pPr>
      <w:r w:rsidRPr="00AB45E6">
        <w:rPr>
          <w:color w:val="000000" w:themeColor="text1"/>
          <w:lang w:val="en-US"/>
        </w:rPr>
        <w:t>Endometriosis is a chronic inflammatory disease for which no definitive cure currently exists, and management is therefore aimed at long-term symptom control, preservation of fertility, and improvement of quality of life. Contemporary management strategies integrate medical, surgical, or combined approaches, with increasing recognition of the importance of multidisciplinary care, particularly in patients with complex disease or persistent pain syndromes (Vercellini et al., 2014; ESHRE Guideline, 2022).</w:t>
      </w:r>
    </w:p>
    <w:p w14:paraId="7F71910D" w14:textId="4042FB21" w:rsidR="009540C1" w:rsidRDefault="00AB45E6" w:rsidP="00AB45E6">
      <w:pPr>
        <w:widowControl w:val="0"/>
        <w:autoSpaceDE w:val="0"/>
        <w:autoSpaceDN w:val="0"/>
        <w:adjustRightInd w:val="0"/>
        <w:spacing w:line="360" w:lineRule="auto"/>
        <w:jc w:val="both"/>
        <w:rPr>
          <w:i/>
          <w:iCs/>
          <w:color w:val="000000" w:themeColor="text1"/>
          <w:lang w:val="en-US"/>
        </w:rPr>
      </w:pPr>
      <w:r w:rsidRPr="00AB45E6">
        <w:rPr>
          <w:color w:val="000000" w:themeColor="text1"/>
          <w:lang w:val="en-US"/>
        </w:rPr>
        <w:t>Current international guidelines support a patient-centered approach in which endometriosis may be diagnosed clinically, without mandatory diagnostic laparoscopy, and in which first-line medical therapy can be initiated in primary or non-specialist care settings. Treatment decisions should be individualized based on symptom severity, reproductive goals, comorbidities, patient preferences, and the overall impact on quality of life, acknowledging that multiple therapeutic trials may be required to achieve adequate symptom relief</w:t>
      </w:r>
      <w:r w:rsidR="009540C1">
        <w:rPr>
          <w:color w:val="000000" w:themeColor="text1"/>
          <w:vertAlign w:val="superscript"/>
          <w:lang w:val="en-US"/>
        </w:rPr>
        <w:t>197</w:t>
      </w:r>
      <w:r w:rsidR="009540C1">
        <w:rPr>
          <w:i/>
          <w:iCs/>
          <w:color w:val="000000" w:themeColor="text1"/>
          <w:lang w:val="en-US"/>
        </w:rPr>
        <w:t>.</w:t>
      </w:r>
    </w:p>
    <w:p w14:paraId="3E04C229" w14:textId="508AFF50" w:rsidR="00AB45E6" w:rsidRPr="009540C1" w:rsidRDefault="00AB45E6" w:rsidP="00AB45E6">
      <w:pPr>
        <w:widowControl w:val="0"/>
        <w:autoSpaceDE w:val="0"/>
        <w:autoSpaceDN w:val="0"/>
        <w:adjustRightInd w:val="0"/>
        <w:spacing w:line="360" w:lineRule="auto"/>
        <w:jc w:val="both"/>
        <w:rPr>
          <w:color w:val="000000" w:themeColor="text1"/>
          <w:vertAlign w:val="superscript"/>
          <w:lang w:val="en-US"/>
        </w:rPr>
      </w:pPr>
      <w:r w:rsidRPr="00AB45E6">
        <w:rPr>
          <w:i/>
          <w:iCs/>
          <w:color w:val="000000" w:themeColor="text1"/>
          <w:lang w:val="en-US"/>
        </w:rPr>
        <w:t>Medical Treatment</w:t>
      </w:r>
    </w:p>
    <w:p w14:paraId="7C9D032F" w14:textId="77777777" w:rsidR="009540C1" w:rsidRDefault="00AB45E6" w:rsidP="00AB45E6">
      <w:pPr>
        <w:widowControl w:val="0"/>
        <w:autoSpaceDE w:val="0"/>
        <w:autoSpaceDN w:val="0"/>
        <w:adjustRightInd w:val="0"/>
        <w:spacing w:line="360" w:lineRule="auto"/>
        <w:jc w:val="both"/>
        <w:rPr>
          <w:i/>
          <w:iCs/>
          <w:color w:val="000000" w:themeColor="text1"/>
          <w:lang w:val="en-US"/>
        </w:rPr>
      </w:pPr>
      <w:r w:rsidRPr="00AB45E6">
        <w:rPr>
          <w:color w:val="000000" w:themeColor="text1"/>
          <w:lang w:val="en-US"/>
        </w:rPr>
        <w:t xml:space="preserve">Medical management represents the first-line approach for most symptomatic patients. Non-steroidal anti-inflammatory drugs are commonly used for dysmenorrhea, although evidence supporting their efficacy for chronic non-cyclical pain remains limited. Hormonal therapies, including combined hormonal contraceptives and progestin-only regimens, are the cornerstone of long-term treatment and demonstrate comparable </w:t>
      </w:r>
      <w:r w:rsidRPr="00AB45E6">
        <w:rPr>
          <w:color w:val="000000" w:themeColor="text1"/>
          <w:lang w:val="en-US"/>
        </w:rPr>
        <w:lastRenderedPageBreak/>
        <w:t>efficacy in reducing endometriosis-associated pain. Continuous regimens are generally preferred over cyclic administration due to superior pain control</w:t>
      </w:r>
      <w:r w:rsidR="009540C1">
        <w:rPr>
          <w:color w:val="000000" w:themeColor="text1"/>
          <w:vertAlign w:val="superscript"/>
          <w:lang w:val="en-US"/>
        </w:rPr>
        <w:t>197</w:t>
      </w:r>
      <w:r w:rsidR="009540C1">
        <w:rPr>
          <w:color w:val="000000" w:themeColor="text1"/>
          <w:lang w:val="en-US"/>
        </w:rPr>
        <w:t xml:space="preserve">. </w:t>
      </w:r>
      <w:r w:rsidRPr="00AB45E6">
        <w:rPr>
          <w:color w:val="000000" w:themeColor="text1"/>
          <w:lang w:val="en-US"/>
        </w:rPr>
        <w:t>Second-line therapies are reserved for patients with refractory symptoms or intolerance to first-line options. Gonadotropin-releasing hormone (GnRH) agonists and antagonists effectively reduce pain by inducing a hypoestrogenic state, although their use is limited by menopausal-like adverse effects and bone mineral density loss, which can be mitigated by add-back therapy. Aromatase inhibitors may be considered in selected cases, typically in combination with ovarian suppression, whereas danazol is no longer recommended due to its unfavorable safety profile</w:t>
      </w:r>
      <w:r w:rsidR="009540C1">
        <w:rPr>
          <w:color w:val="000000" w:themeColor="text1"/>
          <w:vertAlign w:val="superscript"/>
          <w:lang w:val="en-US"/>
        </w:rPr>
        <w:t>184</w:t>
      </w:r>
      <w:r w:rsidR="009540C1">
        <w:rPr>
          <w:i/>
          <w:iCs/>
          <w:color w:val="000000" w:themeColor="text1"/>
          <w:lang w:val="en-US"/>
        </w:rPr>
        <w:t>.</w:t>
      </w:r>
    </w:p>
    <w:p w14:paraId="70BA98DB" w14:textId="40183B05" w:rsidR="00AB45E6" w:rsidRPr="009540C1" w:rsidRDefault="00AB45E6" w:rsidP="00AB45E6">
      <w:pPr>
        <w:widowControl w:val="0"/>
        <w:autoSpaceDE w:val="0"/>
        <w:autoSpaceDN w:val="0"/>
        <w:adjustRightInd w:val="0"/>
        <w:spacing w:line="360" w:lineRule="auto"/>
        <w:jc w:val="both"/>
        <w:rPr>
          <w:color w:val="000000" w:themeColor="text1"/>
          <w:vertAlign w:val="superscript"/>
          <w:lang w:val="en-US"/>
        </w:rPr>
      </w:pPr>
      <w:r w:rsidRPr="00AB45E6">
        <w:rPr>
          <w:i/>
          <w:iCs/>
          <w:color w:val="000000" w:themeColor="text1"/>
          <w:lang w:val="en-US"/>
        </w:rPr>
        <w:t>Surgical Treatment</w:t>
      </w:r>
    </w:p>
    <w:p w14:paraId="4186EF29" w14:textId="3B2F6CBF" w:rsidR="00AB45E6" w:rsidRPr="00AB45E6" w:rsidRDefault="00AB45E6" w:rsidP="00AB45E6">
      <w:pPr>
        <w:widowControl w:val="0"/>
        <w:autoSpaceDE w:val="0"/>
        <w:autoSpaceDN w:val="0"/>
        <w:adjustRightInd w:val="0"/>
        <w:spacing w:line="360" w:lineRule="auto"/>
        <w:jc w:val="both"/>
        <w:rPr>
          <w:color w:val="000000" w:themeColor="text1"/>
          <w:lang w:val="en-US"/>
        </w:rPr>
      </w:pPr>
      <w:r w:rsidRPr="00AB45E6">
        <w:rPr>
          <w:color w:val="000000" w:themeColor="text1"/>
          <w:lang w:val="en-US"/>
        </w:rPr>
        <w:t>Surgical intervention is indicated when medical therapy is contraindicated, poorly tolerated, ineffective, or when endometriosis causes organ dysfunction such as bowel or ureteral obstruction. Minimally invasive laparoscopic excision is the preferred surgical approach and is associated with reduced postoperative morbidity and faster recovery compared with laparotomy. Excisional techniques are favored over ablation when feasible, as they allow histological confirmation and may reduce recurrence rates</w:t>
      </w:r>
      <w:r w:rsidR="009540C1">
        <w:rPr>
          <w:color w:val="000000" w:themeColor="text1"/>
          <w:vertAlign w:val="superscript"/>
          <w:lang w:val="en-US"/>
        </w:rPr>
        <w:t>197</w:t>
      </w:r>
      <w:r w:rsidR="009540C1">
        <w:rPr>
          <w:color w:val="000000" w:themeColor="text1"/>
          <w:lang w:val="en-US"/>
        </w:rPr>
        <w:t>.</w:t>
      </w:r>
    </w:p>
    <w:p w14:paraId="7DA8AA8B" w14:textId="77777777" w:rsidR="009540C1" w:rsidRDefault="00AB45E6" w:rsidP="00AB45E6">
      <w:pPr>
        <w:widowControl w:val="0"/>
        <w:autoSpaceDE w:val="0"/>
        <w:autoSpaceDN w:val="0"/>
        <w:adjustRightInd w:val="0"/>
        <w:spacing w:line="360" w:lineRule="auto"/>
        <w:jc w:val="both"/>
        <w:rPr>
          <w:i/>
          <w:iCs/>
          <w:color w:val="000000" w:themeColor="text1"/>
          <w:lang w:val="en-US"/>
        </w:rPr>
      </w:pPr>
      <w:r w:rsidRPr="00AB45E6">
        <w:rPr>
          <w:color w:val="000000" w:themeColor="text1"/>
          <w:lang w:val="en-US"/>
        </w:rPr>
        <w:t>Specific surgical strategies depend on disease phenotype. Ovarian endometriomas larger than 3 cm are optimally managed by cystectomy rather than drainage or ablation, although preservation of ovarian reserve is a critical consideration. Deep infiltrating endometriosis should be managed in specialized referral centers due to the need for multidisciplinary expertise and the higher risk of complications. Hysterectomy may be considered in selected patients with refractory symptoms who have completed childbearing, although it is not universally curative and pain may persist due to residual disease or central sensitization</w:t>
      </w:r>
      <w:r w:rsidR="009540C1">
        <w:rPr>
          <w:color w:val="000000" w:themeColor="text1"/>
          <w:vertAlign w:val="superscript"/>
          <w:lang w:val="en-US"/>
        </w:rPr>
        <w:t>197</w:t>
      </w:r>
      <w:r w:rsidR="009540C1">
        <w:rPr>
          <w:i/>
          <w:iCs/>
          <w:color w:val="000000" w:themeColor="text1"/>
          <w:lang w:val="en-US"/>
        </w:rPr>
        <w:t>.</w:t>
      </w:r>
    </w:p>
    <w:p w14:paraId="26E856CC" w14:textId="1710E187" w:rsidR="00AB45E6" w:rsidRPr="009540C1" w:rsidRDefault="00AB45E6" w:rsidP="00AB45E6">
      <w:pPr>
        <w:widowControl w:val="0"/>
        <w:autoSpaceDE w:val="0"/>
        <w:autoSpaceDN w:val="0"/>
        <w:adjustRightInd w:val="0"/>
        <w:spacing w:line="360" w:lineRule="auto"/>
        <w:jc w:val="both"/>
        <w:rPr>
          <w:color w:val="000000" w:themeColor="text1"/>
          <w:vertAlign w:val="superscript"/>
          <w:lang w:val="en-US"/>
        </w:rPr>
      </w:pPr>
      <w:r w:rsidRPr="00F97FD6">
        <w:rPr>
          <w:i/>
          <w:iCs/>
          <w:color w:val="000000" w:themeColor="text1"/>
          <w:lang w:val="en-US"/>
        </w:rPr>
        <w:t>Chronic Pain and Multidisciplinary Care</w:t>
      </w:r>
    </w:p>
    <w:p w14:paraId="7EFBCAF3" w14:textId="38CFEBF6" w:rsidR="009540C1" w:rsidRPr="009540C1" w:rsidRDefault="00AB45E6" w:rsidP="00AB45E6">
      <w:pPr>
        <w:widowControl w:val="0"/>
        <w:autoSpaceDE w:val="0"/>
        <w:autoSpaceDN w:val="0"/>
        <w:adjustRightInd w:val="0"/>
        <w:spacing w:line="360" w:lineRule="auto"/>
        <w:jc w:val="both"/>
        <w:rPr>
          <w:i/>
          <w:iCs/>
          <w:color w:val="000000" w:themeColor="text1"/>
          <w:lang w:val="en-US"/>
        </w:rPr>
      </w:pPr>
      <w:r w:rsidRPr="00AB45E6">
        <w:rPr>
          <w:color w:val="000000" w:themeColor="text1"/>
          <w:lang w:val="en-US"/>
        </w:rPr>
        <w:t>A subset of patients continues to experience persistent pelvic pain despite optimal medical and surgical treatment. This condition is increasingly recognized as a manifestation of central sensitization or nociplastic pain and requires a multimodal, multidisciplinary approach. Effective management may include pelvic floor physiotherapy, psychological interventions such as cognitive behavioral therapy, and targeted pharmacologic strategies for neuropathic pain, emphasizing the importance of integrated care models</w:t>
      </w:r>
      <w:r w:rsidR="009540C1">
        <w:rPr>
          <w:color w:val="000000" w:themeColor="text1"/>
          <w:vertAlign w:val="superscript"/>
          <w:lang w:val="en-US"/>
        </w:rPr>
        <w:t>184</w:t>
      </w:r>
      <w:r w:rsidR="009540C1">
        <w:rPr>
          <w:color w:val="000000" w:themeColor="text1"/>
          <w:lang w:val="en-US"/>
        </w:rPr>
        <w:t>.</w:t>
      </w:r>
    </w:p>
    <w:p w14:paraId="255613E8" w14:textId="40EA7E4B" w:rsidR="00AB45E6" w:rsidRPr="009540C1" w:rsidRDefault="00AB45E6" w:rsidP="00AB45E6">
      <w:pPr>
        <w:widowControl w:val="0"/>
        <w:autoSpaceDE w:val="0"/>
        <w:autoSpaceDN w:val="0"/>
        <w:adjustRightInd w:val="0"/>
        <w:spacing w:line="360" w:lineRule="auto"/>
        <w:jc w:val="both"/>
        <w:rPr>
          <w:color w:val="000000" w:themeColor="text1"/>
          <w:vertAlign w:val="superscript"/>
          <w:lang w:val="en-US"/>
        </w:rPr>
      </w:pPr>
      <w:r w:rsidRPr="00AB45E6">
        <w:rPr>
          <w:i/>
          <w:iCs/>
          <w:color w:val="000000" w:themeColor="text1"/>
          <w:lang w:val="en-US"/>
        </w:rPr>
        <w:lastRenderedPageBreak/>
        <w:t>Endometriosis-Associated Infertility</w:t>
      </w:r>
    </w:p>
    <w:p w14:paraId="72466ABE" w14:textId="4BD0242F" w:rsidR="00AB45E6" w:rsidRPr="00AB45E6" w:rsidRDefault="00AB45E6" w:rsidP="00AB45E6">
      <w:pPr>
        <w:widowControl w:val="0"/>
        <w:autoSpaceDE w:val="0"/>
        <w:autoSpaceDN w:val="0"/>
        <w:adjustRightInd w:val="0"/>
        <w:spacing w:line="360" w:lineRule="auto"/>
        <w:jc w:val="both"/>
        <w:rPr>
          <w:color w:val="000000" w:themeColor="text1"/>
          <w:lang w:val="en-US"/>
        </w:rPr>
      </w:pPr>
      <w:r w:rsidRPr="00AB45E6">
        <w:rPr>
          <w:color w:val="000000" w:themeColor="text1"/>
          <w:lang w:val="en-US"/>
        </w:rPr>
        <w:t>Endometriosis is associated with reduced fertility through multiple mechanisms, including distorted pelvic anatomy, inflammatory peritoneal environments, and impaired oocyte quality. Surgical treatment may improve spontaneous conception rates in patients with minimal to moderate disease, while the Endometriosis Fertility Index (EFI) is a validated tool for predicting post-surgical fertility outcomes. Importantly, assisted reproductive technologies, including IVF, remain effective in women with endometriosis, with pregnancy and live birth rates comparable to those observed in other infertility populations, except in cases of severely compromised ovarian reserve</w:t>
      </w:r>
      <w:r w:rsidR="009540C1">
        <w:rPr>
          <w:rStyle w:val="Rimandonotadichiusura"/>
          <w:color w:val="000000" w:themeColor="text1"/>
          <w:lang w:val="en-US"/>
        </w:rPr>
        <w:endnoteReference w:id="256"/>
      </w:r>
      <w:r w:rsidR="009540C1">
        <w:rPr>
          <w:color w:val="000000" w:themeColor="text1"/>
          <w:lang w:val="en-US"/>
        </w:rPr>
        <w:t>.</w:t>
      </w:r>
    </w:p>
    <w:p w14:paraId="6BCA5BB3" w14:textId="21F0738D" w:rsidR="00AB45E6" w:rsidRPr="00AB45E6" w:rsidRDefault="00AB45E6" w:rsidP="00AB45E6">
      <w:pPr>
        <w:widowControl w:val="0"/>
        <w:autoSpaceDE w:val="0"/>
        <w:autoSpaceDN w:val="0"/>
        <w:adjustRightInd w:val="0"/>
        <w:spacing w:line="360" w:lineRule="auto"/>
        <w:jc w:val="both"/>
        <w:rPr>
          <w:color w:val="000000" w:themeColor="text1"/>
          <w:lang w:val="en-US"/>
        </w:rPr>
      </w:pPr>
      <w:r w:rsidRPr="00AB45E6">
        <w:rPr>
          <w:color w:val="000000" w:themeColor="text1"/>
          <w:lang w:val="en-US"/>
        </w:rPr>
        <w:t>Early recognition and timely management of endometriosis are essential to reduce diagnostic delay and disease burden. Current evidence supports a shift toward non-surgical clinical diagnosis and individualized, patient-centered treatment strategies. While both medical and surgical therapies can provide substantial symptom relief, recurrence remains common, highlighting the chronic nature of the disease. Multidisciplinary care is essential for patients with persistent pain, and fertility outcomes with assisted reproduction are generally reassuring. Ongoing research is needed to refine therapeutic strategies and improve long-term outcomes for affected women (Vercellini et al., 2014; ESHRE Guideline, 2022).</w:t>
      </w:r>
    </w:p>
    <w:p w14:paraId="658753E6" w14:textId="64A8F162" w:rsidR="003F4911" w:rsidRDefault="003F4911">
      <w:pPr>
        <w:rPr>
          <w:color w:val="000000" w:themeColor="text1"/>
          <w:lang w:val="en-US"/>
        </w:rPr>
      </w:pPr>
      <w:r>
        <w:rPr>
          <w:color w:val="000000" w:themeColor="text1"/>
          <w:lang w:val="en-US"/>
        </w:rPr>
        <w:br w:type="page"/>
      </w:r>
    </w:p>
    <w:p w14:paraId="14A7AFD0" w14:textId="150AC3F4" w:rsidR="003906C9" w:rsidRPr="00290211" w:rsidRDefault="00290211" w:rsidP="00290211">
      <w:pPr>
        <w:pStyle w:val="Titolo1"/>
        <w:numPr>
          <w:ilvl w:val="0"/>
          <w:numId w:val="2"/>
        </w:numPr>
        <w:jc w:val="center"/>
        <w:rPr>
          <w:sz w:val="36"/>
          <w:szCs w:val="36"/>
          <w:lang w:val="en-US"/>
        </w:rPr>
      </w:pPr>
      <w:bookmarkStart w:id="23" w:name="_Toc219243287"/>
      <w:r w:rsidRPr="00290211">
        <w:rPr>
          <w:sz w:val="36"/>
          <w:szCs w:val="36"/>
          <w:lang w:val="en-US"/>
        </w:rPr>
        <w:lastRenderedPageBreak/>
        <w:t>AIM OF THE S</w:t>
      </w:r>
      <w:r>
        <w:rPr>
          <w:sz w:val="36"/>
          <w:szCs w:val="36"/>
          <w:lang w:val="en-US"/>
        </w:rPr>
        <w:t>TUDY</w:t>
      </w:r>
      <w:bookmarkEnd w:id="23"/>
    </w:p>
    <w:p w14:paraId="3458ADF9" w14:textId="77777777" w:rsidR="003906C9" w:rsidRPr="00290211" w:rsidRDefault="003906C9" w:rsidP="0052195A">
      <w:pPr>
        <w:rPr>
          <w:lang w:val="en-US"/>
        </w:rPr>
      </w:pPr>
    </w:p>
    <w:p w14:paraId="7D433564" w14:textId="79537672" w:rsidR="003C251B" w:rsidRPr="00D44262" w:rsidRDefault="008C3F2D" w:rsidP="003C251B">
      <w:pPr>
        <w:spacing w:line="360" w:lineRule="auto"/>
        <w:jc w:val="both"/>
        <w:rPr>
          <w:lang w:val="en-US"/>
        </w:rPr>
      </w:pPr>
      <w:r>
        <w:rPr>
          <w:lang w:val="en-US"/>
        </w:rPr>
        <w:t>The</w:t>
      </w:r>
      <w:r w:rsidR="003C251B" w:rsidRPr="006E7D97">
        <w:rPr>
          <w:lang w:val="en-US"/>
        </w:rPr>
        <w:t xml:space="preserve"> aim of the present study </w:t>
      </w:r>
      <w:r w:rsidR="00731FD0">
        <w:rPr>
          <w:lang w:val="en-US"/>
        </w:rPr>
        <w:t>i</w:t>
      </w:r>
      <w:r w:rsidR="001F5B2B" w:rsidRPr="001F5B2B">
        <w:rPr>
          <w:lang w:val="en-US"/>
        </w:rPr>
        <w:t xml:space="preserve">n line with the WHO commitment to </w:t>
      </w:r>
      <w:r w:rsidR="001F5B2B">
        <w:rPr>
          <w:lang w:val="en-US"/>
        </w:rPr>
        <w:t>“</w:t>
      </w:r>
      <w:r w:rsidR="001F5B2B" w:rsidRPr="001F5B2B">
        <w:rPr>
          <w:lang w:val="en-US"/>
        </w:rPr>
        <w:t>leave no one behind</w:t>
      </w:r>
      <w:r w:rsidR="001F5B2B">
        <w:rPr>
          <w:lang w:val="en-US"/>
        </w:rPr>
        <w:t xml:space="preserve">”, </w:t>
      </w:r>
      <w:r w:rsidR="003C251B" w:rsidRPr="006E7D97">
        <w:rPr>
          <w:lang w:val="en-US"/>
        </w:rPr>
        <w:t xml:space="preserve">was to investigate the presence and composition of periodontal bacterial populations in women without periodontal disease but with and without reproductive disorder, </w:t>
      </w:r>
      <w:proofErr w:type="gramStart"/>
      <w:r w:rsidR="003C251B" w:rsidRPr="006E7D97">
        <w:rPr>
          <w:lang w:val="en-US"/>
        </w:rPr>
        <w:t>in order to</w:t>
      </w:r>
      <w:proofErr w:type="gramEnd"/>
      <w:r w:rsidR="003C251B" w:rsidRPr="006E7D97">
        <w:rPr>
          <w:lang w:val="en-US"/>
        </w:rPr>
        <w:t xml:space="preserve"> identify salivary biomarkers that may contribute to the early diagnosis of endometriosis</w:t>
      </w:r>
      <w:r w:rsidR="00D44262">
        <w:rPr>
          <w:lang w:val="en-US"/>
        </w:rPr>
        <w:t xml:space="preserve"> </w:t>
      </w:r>
      <w:r w:rsidR="00D44262" w:rsidRPr="00D44262">
        <w:rPr>
          <w:lang w:val="en-US"/>
        </w:rPr>
        <w:t>as a non-invasive diagnostic biomarker</w:t>
      </w:r>
      <w:r w:rsidR="00D44262">
        <w:rPr>
          <w:lang w:val="en-US"/>
        </w:rPr>
        <w:t>.</w:t>
      </w:r>
    </w:p>
    <w:p w14:paraId="16643717" w14:textId="54131797" w:rsidR="003C251B" w:rsidRDefault="00D50E5A" w:rsidP="003C251B">
      <w:pPr>
        <w:spacing w:line="360" w:lineRule="auto"/>
        <w:jc w:val="both"/>
        <w:rPr>
          <w:lang w:val="en-US"/>
        </w:rPr>
      </w:pPr>
      <w:r w:rsidRPr="00D50E5A">
        <w:rPr>
          <w:lang w:val="en-US"/>
        </w:rPr>
        <w:t xml:space="preserve">The </w:t>
      </w:r>
      <w:proofErr w:type="gramStart"/>
      <w:r w:rsidRPr="00D50E5A">
        <w:rPr>
          <w:lang w:val="en-US"/>
        </w:rPr>
        <w:t>ultimate goal</w:t>
      </w:r>
      <w:proofErr w:type="gramEnd"/>
      <w:r w:rsidRPr="00D50E5A">
        <w:rPr>
          <w:lang w:val="en-US"/>
        </w:rPr>
        <w:t xml:space="preserve"> is to protect female health through the implementation of oral medicine and gender dentistry knowledge, in line with Goals 3 (health and well-being) and 5 (gender equality) of the United Nations 2030 Agenda for Sustainable Development</w:t>
      </w:r>
      <w:r w:rsidR="00250078">
        <w:rPr>
          <w:rStyle w:val="Rimandonotadichiusura"/>
          <w:lang w:val="en-US"/>
        </w:rPr>
        <w:endnoteReference w:id="257"/>
      </w:r>
      <w:r>
        <w:rPr>
          <w:rStyle w:val="Rimandonotadichiusura"/>
          <w:lang w:val="en-US"/>
        </w:rPr>
        <w:endnoteReference w:id="258"/>
      </w:r>
      <w:r w:rsidR="003941F1">
        <w:rPr>
          <w:lang w:val="en-US"/>
        </w:rPr>
        <w:t>.</w:t>
      </w:r>
    </w:p>
    <w:p w14:paraId="02D93467" w14:textId="77777777" w:rsidR="006D1068" w:rsidRPr="00D50E5A" w:rsidRDefault="006D1068" w:rsidP="003C251B">
      <w:pPr>
        <w:spacing w:line="360" w:lineRule="auto"/>
        <w:jc w:val="both"/>
        <w:rPr>
          <w:lang w:val="en-US"/>
        </w:rPr>
      </w:pPr>
    </w:p>
    <w:p w14:paraId="5978327B" w14:textId="515933B6" w:rsidR="002C5FF4" w:rsidRPr="004E3C8F" w:rsidRDefault="004E3C8F" w:rsidP="004E3C8F">
      <w:pPr>
        <w:rPr>
          <w:color w:val="000000" w:themeColor="text1"/>
          <w:lang w:val="en-US"/>
        </w:rPr>
      </w:pPr>
      <w:r>
        <w:rPr>
          <w:color w:val="000000" w:themeColor="text1"/>
          <w:lang w:val="en-US"/>
        </w:rPr>
        <w:br w:type="page"/>
      </w:r>
    </w:p>
    <w:p w14:paraId="3DE87B69" w14:textId="2B8FF152" w:rsidR="002F7DB4" w:rsidRPr="00B17019" w:rsidRDefault="009834DD" w:rsidP="002F7DB4">
      <w:pPr>
        <w:pStyle w:val="Titolo1"/>
        <w:numPr>
          <w:ilvl w:val="0"/>
          <w:numId w:val="2"/>
        </w:numPr>
        <w:spacing w:line="360" w:lineRule="auto"/>
        <w:jc w:val="center"/>
        <w:rPr>
          <w:sz w:val="36"/>
          <w:szCs w:val="36"/>
        </w:rPr>
      </w:pPr>
      <w:bookmarkStart w:id="24" w:name="_Toc219243288"/>
      <w:r w:rsidRPr="00692004">
        <w:rPr>
          <w:sz w:val="36"/>
          <w:szCs w:val="36"/>
        </w:rPr>
        <w:lastRenderedPageBreak/>
        <w:t>MATER</w:t>
      </w:r>
      <w:r w:rsidR="00290211" w:rsidRPr="00692004">
        <w:rPr>
          <w:sz w:val="36"/>
          <w:szCs w:val="36"/>
        </w:rPr>
        <w:t>ERIALS</w:t>
      </w:r>
      <w:r w:rsidRPr="00692004">
        <w:rPr>
          <w:sz w:val="36"/>
          <w:szCs w:val="36"/>
        </w:rPr>
        <w:t xml:space="preserve"> </w:t>
      </w:r>
      <w:r w:rsidR="00290211" w:rsidRPr="00692004">
        <w:rPr>
          <w:sz w:val="36"/>
          <w:szCs w:val="36"/>
        </w:rPr>
        <w:t>AND</w:t>
      </w:r>
      <w:r w:rsidRPr="00692004">
        <w:rPr>
          <w:sz w:val="36"/>
          <w:szCs w:val="36"/>
        </w:rPr>
        <w:t xml:space="preserve"> MET</w:t>
      </w:r>
      <w:r w:rsidR="00290211" w:rsidRPr="00692004">
        <w:rPr>
          <w:sz w:val="36"/>
          <w:szCs w:val="36"/>
        </w:rPr>
        <w:t>H</w:t>
      </w:r>
      <w:r w:rsidRPr="00692004">
        <w:rPr>
          <w:sz w:val="36"/>
          <w:szCs w:val="36"/>
        </w:rPr>
        <w:t>OD</w:t>
      </w:r>
      <w:r w:rsidR="00290211" w:rsidRPr="00692004">
        <w:rPr>
          <w:sz w:val="36"/>
          <w:szCs w:val="36"/>
        </w:rPr>
        <w:t>S</w:t>
      </w:r>
      <w:bookmarkEnd w:id="24"/>
    </w:p>
    <w:p w14:paraId="365AC599" w14:textId="6EBE6311" w:rsidR="002F7DB4" w:rsidRPr="00D76201" w:rsidRDefault="002F7DB4" w:rsidP="002F7DB4">
      <w:pPr>
        <w:rPr>
          <w:color w:val="1F497D" w:themeColor="text2"/>
          <w:lang w:val="en-US"/>
        </w:rPr>
      </w:pPr>
    </w:p>
    <w:p w14:paraId="535B57AC" w14:textId="3D84233B" w:rsidR="002F7DB4" w:rsidRPr="0027368D" w:rsidRDefault="00D76201" w:rsidP="0027368D">
      <w:pPr>
        <w:pStyle w:val="Titolo2"/>
        <w:spacing w:line="360" w:lineRule="auto"/>
        <w:jc w:val="both"/>
        <w:rPr>
          <w:sz w:val="28"/>
          <w:szCs w:val="28"/>
          <w:lang w:val="en-US"/>
        </w:rPr>
      </w:pPr>
      <w:bookmarkStart w:id="25" w:name="_Toc219243289"/>
      <w:r w:rsidRPr="0027368D">
        <w:rPr>
          <w:sz w:val="28"/>
          <w:szCs w:val="28"/>
          <w:lang w:val="en-US"/>
        </w:rPr>
        <w:t>3</w:t>
      </w:r>
      <w:r w:rsidR="002F7DB4" w:rsidRPr="0027368D">
        <w:rPr>
          <w:sz w:val="28"/>
          <w:szCs w:val="28"/>
          <w:lang w:val="en-US"/>
        </w:rPr>
        <w:t>.1 Type of the study</w:t>
      </w:r>
      <w:bookmarkEnd w:id="25"/>
    </w:p>
    <w:p w14:paraId="7EA892C3" w14:textId="7C858EEB" w:rsidR="002F7DB4" w:rsidRPr="00CB115F" w:rsidRDefault="002F7DB4" w:rsidP="0027368D">
      <w:pPr>
        <w:spacing w:line="360" w:lineRule="auto"/>
        <w:jc w:val="both"/>
        <w:rPr>
          <w:lang w:val="en-US"/>
        </w:rPr>
      </w:pPr>
      <w:r w:rsidRPr="00C7233E">
        <w:rPr>
          <w:color w:val="000000" w:themeColor="text1"/>
          <w:lang w:val="en-US"/>
        </w:rPr>
        <w:t xml:space="preserve">The </w:t>
      </w:r>
      <w:r w:rsidRPr="00CB115F">
        <w:rPr>
          <w:lang w:val="en-US"/>
        </w:rPr>
        <w:t>study is an observational case-control study, with a cross-section sampling.</w:t>
      </w:r>
    </w:p>
    <w:p w14:paraId="5B6395B8" w14:textId="77777777" w:rsidR="00D76201" w:rsidRPr="00CB115F" w:rsidRDefault="00D76201" w:rsidP="00D76201">
      <w:pPr>
        <w:spacing w:line="360" w:lineRule="auto"/>
        <w:jc w:val="both"/>
        <w:rPr>
          <w:lang w:val="en-US"/>
        </w:rPr>
      </w:pPr>
    </w:p>
    <w:p w14:paraId="241333C2" w14:textId="1BB04AA0" w:rsidR="002F7DB4" w:rsidRPr="0027368D" w:rsidRDefault="00D76201" w:rsidP="00D76201">
      <w:pPr>
        <w:pStyle w:val="Titolo2"/>
        <w:spacing w:line="360" w:lineRule="auto"/>
        <w:rPr>
          <w:sz w:val="28"/>
          <w:szCs w:val="28"/>
          <w:lang w:val="en-US"/>
        </w:rPr>
      </w:pPr>
      <w:bookmarkStart w:id="26" w:name="_Toc219243290"/>
      <w:r w:rsidRPr="00CB115F">
        <w:rPr>
          <w:color w:val="auto"/>
          <w:sz w:val="28"/>
          <w:szCs w:val="28"/>
          <w:lang w:val="en-US"/>
        </w:rPr>
        <w:t>3</w:t>
      </w:r>
      <w:r w:rsidR="002F7DB4" w:rsidRPr="00CB115F">
        <w:rPr>
          <w:color w:val="auto"/>
          <w:sz w:val="28"/>
          <w:szCs w:val="28"/>
          <w:lang w:val="en-US"/>
        </w:rPr>
        <w:t xml:space="preserve">.2 Population </w:t>
      </w:r>
      <w:r w:rsidR="002F7DB4" w:rsidRPr="0027368D">
        <w:rPr>
          <w:sz w:val="28"/>
          <w:szCs w:val="28"/>
          <w:lang w:val="en-US"/>
        </w:rPr>
        <w:t>and patient selection criteria</w:t>
      </w:r>
      <w:bookmarkEnd w:id="26"/>
    </w:p>
    <w:p w14:paraId="0FB56921" w14:textId="3CD47122" w:rsidR="002F7DB4" w:rsidRPr="0027368D" w:rsidRDefault="002F7DB4" w:rsidP="003F4911">
      <w:pPr>
        <w:spacing w:line="360" w:lineRule="auto"/>
        <w:jc w:val="both"/>
        <w:rPr>
          <w:color w:val="000000" w:themeColor="text1"/>
          <w:lang w:val="en-US"/>
        </w:rPr>
      </w:pPr>
      <w:r w:rsidRPr="0027368D">
        <w:rPr>
          <w:color w:val="000000" w:themeColor="text1"/>
          <w:lang w:val="en-US"/>
        </w:rPr>
        <w:t>The population who donated the saliva sample included women in reproductive age (18-45 years), without any clinical sign of periodontal disease, according the 2017 periodontal disease classification</w:t>
      </w:r>
      <w:r w:rsidR="0027368D" w:rsidRPr="0027368D">
        <w:rPr>
          <w:rStyle w:val="Rimandonotadichiusura"/>
          <w:color w:val="000000" w:themeColor="text1"/>
          <w:lang w:val="en-US"/>
        </w:rPr>
        <w:endnoteReference w:id="259"/>
      </w:r>
      <w:r w:rsidRPr="0027368D">
        <w:rPr>
          <w:color w:val="000000" w:themeColor="text1"/>
          <w:lang w:val="en-US"/>
        </w:rPr>
        <w:t>.</w:t>
      </w:r>
    </w:p>
    <w:p w14:paraId="3D8ECDB0" w14:textId="77777777" w:rsidR="002F7DB4" w:rsidRPr="00A73C1E" w:rsidRDefault="002F7DB4" w:rsidP="00A73C1E">
      <w:pPr>
        <w:spacing w:line="360" w:lineRule="auto"/>
        <w:jc w:val="both"/>
        <w:rPr>
          <w:color w:val="000000" w:themeColor="text1"/>
          <w:lang w:val="en-US"/>
        </w:rPr>
      </w:pPr>
      <w:r w:rsidRPr="0027368D">
        <w:rPr>
          <w:color w:val="000000" w:themeColor="text1"/>
          <w:lang w:val="en-US"/>
        </w:rPr>
        <w:t xml:space="preserve">Five women with a diagnosis of endometriosis, but with no treatment for it and five </w:t>
      </w:r>
      <w:r w:rsidRPr="00A73C1E">
        <w:rPr>
          <w:color w:val="000000" w:themeColor="text1"/>
          <w:lang w:val="en-US"/>
        </w:rPr>
        <w:t>healthy women were finally recruited for the study.</w:t>
      </w:r>
    </w:p>
    <w:p w14:paraId="5562F183" w14:textId="77777777" w:rsidR="00A73C1E" w:rsidRPr="00A73C1E" w:rsidRDefault="00A73C1E" w:rsidP="00A73C1E">
      <w:pPr>
        <w:spacing w:line="360" w:lineRule="auto"/>
        <w:jc w:val="both"/>
        <w:rPr>
          <w:lang w:val="en-US"/>
        </w:rPr>
      </w:pPr>
      <w:r w:rsidRPr="00A73C1E">
        <w:rPr>
          <w:lang w:val="en-US"/>
        </w:rPr>
        <w:t>Informed consent was obtained from all participants. Saliva sample collection was performed at the dental clinic of the School of Dentistry, ALDENT University, Tirana, Albania. Participant recruitment and sample collection were conducted between March 2025 and September 2025.</w:t>
      </w:r>
    </w:p>
    <w:p w14:paraId="4FD8098D" w14:textId="77777777" w:rsidR="00A73C1E" w:rsidRPr="00A73C1E" w:rsidRDefault="00A73C1E" w:rsidP="00A73C1E">
      <w:pPr>
        <w:spacing w:line="360" w:lineRule="auto"/>
        <w:jc w:val="both"/>
        <w:rPr>
          <w:lang w:val="en-US"/>
        </w:rPr>
      </w:pPr>
      <w:r w:rsidRPr="00A73C1E">
        <w:rPr>
          <w:lang w:val="en-US"/>
        </w:rPr>
        <w:t>The study included patients with a previous ultrasound-based diagnosis of endometriosis who had discontinued medical therapy, as well as patients with an early diagnosis of endometriosis who had not yet undergone medical treatment.</w:t>
      </w:r>
    </w:p>
    <w:p w14:paraId="2DF353B2" w14:textId="77777777" w:rsidR="00A73C1E" w:rsidRPr="00A73C1E" w:rsidRDefault="00A73C1E" w:rsidP="00A73C1E">
      <w:pPr>
        <w:spacing w:line="360" w:lineRule="auto"/>
        <w:jc w:val="both"/>
        <w:rPr>
          <w:lang w:val="en-US"/>
        </w:rPr>
      </w:pPr>
      <w:r w:rsidRPr="00A73C1E">
        <w:rPr>
          <w:lang w:val="en-US"/>
        </w:rPr>
        <w:t>All recruited patients presented with confirmed gynecological conditions, including uterine fibroids, abnormal uterine bleeding, and ovarian cysts. None of the enrolled patients had previously undergone surgical treatment for endometriosis.</w:t>
      </w:r>
    </w:p>
    <w:p w14:paraId="6ADE9599" w14:textId="77777777" w:rsidR="00A73C1E" w:rsidRPr="00A73C1E" w:rsidRDefault="00A73C1E" w:rsidP="00A73C1E">
      <w:pPr>
        <w:spacing w:line="360" w:lineRule="auto"/>
        <w:jc w:val="both"/>
        <w:rPr>
          <w:lang w:val="en-US"/>
        </w:rPr>
      </w:pPr>
      <w:r w:rsidRPr="00A73C1E">
        <w:rPr>
          <w:lang w:val="en-US"/>
        </w:rPr>
        <w:t>Women with endometriosis currently receiving medical therapy and those diagnosed with polycystic ovary syndrome (PCOS) were not recruited. Additional exclusion criteria included pregnancy, smoking, diabetes, postmenopausal status, and suspected malignancy. Furthermore, participants who had received systemic antibiotic therapy within the previous three months, had undergone periodontal treatment within the last six months, or were affected by periodontal disease were excluded.</w:t>
      </w:r>
    </w:p>
    <w:p w14:paraId="781E08C9" w14:textId="2348FC81" w:rsidR="00A73C1E" w:rsidRPr="00A73C1E" w:rsidRDefault="00A73C1E" w:rsidP="00A73C1E">
      <w:pPr>
        <w:spacing w:line="360" w:lineRule="auto"/>
        <w:jc w:val="both"/>
        <w:rPr>
          <w:lang w:val="en-US"/>
        </w:rPr>
      </w:pPr>
      <w:r w:rsidRPr="00A73C1E">
        <w:rPr>
          <w:lang w:val="en-US"/>
        </w:rPr>
        <w:t xml:space="preserve">The sample recruitment process is illustrated in the flowchart presented in </w:t>
      </w:r>
      <w:r w:rsidRPr="009A7234">
        <w:rPr>
          <w:i/>
          <w:iCs/>
          <w:lang w:val="en-US"/>
        </w:rPr>
        <w:t xml:space="preserve">Figure </w:t>
      </w:r>
      <w:r w:rsidR="009A7234" w:rsidRPr="009A7234">
        <w:rPr>
          <w:i/>
          <w:iCs/>
          <w:lang w:val="en-US"/>
        </w:rPr>
        <w:t>10</w:t>
      </w:r>
      <w:r w:rsidRPr="009A7234">
        <w:rPr>
          <w:lang w:val="en-US"/>
        </w:rPr>
        <w:t>.</w:t>
      </w:r>
    </w:p>
    <w:p w14:paraId="2567C6FA" w14:textId="55350199" w:rsidR="005F2F88" w:rsidRPr="00A73C1E" w:rsidRDefault="00A73C1E" w:rsidP="003F4911">
      <w:pPr>
        <w:spacing w:line="360" w:lineRule="auto"/>
        <w:jc w:val="both"/>
        <w:rPr>
          <w:color w:val="000000" w:themeColor="text1"/>
          <w:lang w:val="en-US"/>
        </w:rPr>
      </w:pPr>
      <w:r w:rsidRPr="00A73C1E">
        <w:rPr>
          <w:color w:val="000000" w:themeColor="text1"/>
          <w:lang w:val="en-US"/>
        </w:rPr>
        <w:t>The final sample size comprised 10 participants, including 5 women diagnosed with endometriosis without periodontal disease and 5 women without endometriosis and without periodontal disease, serving as the control group.</w:t>
      </w:r>
    </w:p>
    <w:p w14:paraId="1EFC8A89" w14:textId="2696D080" w:rsidR="005A40D7" w:rsidRPr="00A73C1E" w:rsidRDefault="00692004" w:rsidP="00692004">
      <w:pPr>
        <w:pStyle w:val="Titolo2"/>
        <w:rPr>
          <w:color w:val="000000"/>
          <w:sz w:val="28"/>
          <w:szCs w:val="28"/>
          <w:lang w:val="en-US"/>
        </w:rPr>
      </w:pPr>
      <w:r w:rsidRPr="00692004">
        <w:rPr>
          <w:color w:val="000000"/>
          <w:sz w:val="28"/>
          <w:szCs w:val="28"/>
          <w:lang w:val="en-US"/>
        </w:rPr>
        <w:lastRenderedPageBreak/>
        <w:t xml:space="preserve"> </w:t>
      </w:r>
      <w:bookmarkStart w:id="27" w:name="_Toc219243291"/>
      <w:r w:rsidRPr="00692004">
        <w:rPr>
          <w:color w:val="000000"/>
          <w:sz w:val="28"/>
          <w:szCs w:val="28"/>
          <w:lang w:val="en-US"/>
        </w:rPr>
        <w:t>3.</w:t>
      </w:r>
      <w:r>
        <w:rPr>
          <w:color w:val="000000"/>
          <w:sz w:val="28"/>
          <w:szCs w:val="28"/>
          <w:lang w:val="en-US"/>
        </w:rPr>
        <w:t>3</w:t>
      </w:r>
      <w:r>
        <w:rPr>
          <w:b w:val="0"/>
          <w:bCs/>
          <w:color w:val="000000"/>
          <w:sz w:val="28"/>
          <w:szCs w:val="28"/>
          <w:lang w:val="en-US"/>
        </w:rPr>
        <w:t xml:space="preserve"> </w:t>
      </w:r>
      <w:r w:rsidR="00A73C1E" w:rsidRPr="00A73C1E">
        <w:rPr>
          <w:bCs/>
          <w:color w:val="000000"/>
          <w:sz w:val="28"/>
          <w:szCs w:val="28"/>
          <w:lang w:val="en-US"/>
        </w:rPr>
        <w:t>Endometriosis classification used in recruiting</w:t>
      </w:r>
      <w:bookmarkEnd w:id="27"/>
    </w:p>
    <w:p w14:paraId="2F88385B" w14:textId="77777777" w:rsidR="001A492B" w:rsidRPr="00A73C1E" w:rsidRDefault="001A492B" w:rsidP="001A492B">
      <w:pPr>
        <w:rPr>
          <w:highlight w:val="yellow"/>
          <w:lang w:val="en-US"/>
        </w:rPr>
      </w:pPr>
    </w:p>
    <w:p w14:paraId="7D2C2D73" w14:textId="6C3BB4C0" w:rsidR="00442EF9" w:rsidRPr="009540C1" w:rsidRDefault="00442EF9" w:rsidP="009540C1">
      <w:pPr>
        <w:spacing w:line="360" w:lineRule="auto"/>
        <w:jc w:val="both"/>
        <w:rPr>
          <w:color w:val="000000" w:themeColor="text1"/>
          <w:sz w:val="18"/>
          <w:szCs w:val="18"/>
          <w:lang w:val="en-US"/>
        </w:rPr>
      </w:pPr>
      <w:r w:rsidRPr="00442EF9">
        <w:rPr>
          <w:color w:val="000000" w:themeColor="text1"/>
          <w:lang w:val="en-US"/>
        </w:rPr>
        <w:t>Women with endometriosis were recruited at the Tirana Clinic and included subjects with a confirmed diagnosis of endometriosis based on transvaginal ultrasound (TVS), which is currently regarded as the first-line diagnostic imaging modality for the assessment of ovarian endometriosis</w:t>
      </w:r>
      <w:r w:rsidR="009540C1">
        <w:rPr>
          <w:color w:val="000000" w:themeColor="text1"/>
          <w:vertAlign w:val="superscript"/>
          <w:lang w:val="en-US"/>
        </w:rPr>
        <w:t>184 11</w:t>
      </w:r>
      <w:r w:rsidRPr="00442EF9">
        <w:rPr>
          <w:color w:val="000000" w:themeColor="text1"/>
          <w:lang w:val="en-US"/>
        </w:rPr>
        <w:t xml:space="preserve">. </w:t>
      </w:r>
    </w:p>
    <w:p w14:paraId="22D899C7" w14:textId="77777777" w:rsidR="00442EF9" w:rsidRPr="009540C1" w:rsidRDefault="00442EF9" w:rsidP="009540C1">
      <w:pPr>
        <w:spacing w:line="360" w:lineRule="auto"/>
        <w:jc w:val="both"/>
        <w:rPr>
          <w:color w:val="000000" w:themeColor="text1"/>
          <w:lang w:val="en-US"/>
        </w:rPr>
      </w:pPr>
      <w:r w:rsidRPr="009540C1">
        <w:rPr>
          <w:color w:val="000000" w:themeColor="text1"/>
          <w:lang w:val="en-US"/>
        </w:rPr>
        <w:t>Periodontal screening was performed by dentists immediately following gynecological recruitment.</w:t>
      </w:r>
    </w:p>
    <w:p w14:paraId="734169E4" w14:textId="37C12DD2" w:rsidR="001A492B" w:rsidRPr="009E36F2" w:rsidRDefault="00442EF9" w:rsidP="009540C1">
      <w:pPr>
        <w:spacing w:line="360" w:lineRule="auto"/>
        <w:jc w:val="both"/>
        <w:rPr>
          <w:color w:val="000000" w:themeColor="text1"/>
          <w:sz w:val="18"/>
          <w:szCs w:val="18"/>
          <w:lang w:val="en-US"/>
        </w:rPr>
      </w:pPr>
      <w:r w:rsidRPr="00442EF9">
        <w:rPr>
          <w:color w:val="000000" w:themeColor="text1"/>
          <w:lang w:val="en-US"/>
        </w:rPr>
        <w:t>Diagnosis was supported by gynecological clinical records, and recruitment was based on clinical and imaging criteria, without the application of surgical staging or classification systems. Patient selection was conducted in accordance with predefined inclusion and exclusion criteria. The study included patients with a previous ultrasound-based diagnosis of endometriosis who had discontinued medical therapy, as well as patients with an early diagnosis of endometriosis who had not yet received medical treatment. All recruited patients presented with gynecological conditions confirmed in their clinical records, including uterine fibroids, abnormal uterine bleeding, and ovarian cysts. None of the enrolled patients had previously undergone surgical treatment for endometriosis.</w:t>
      </w:r>
      <w:r w:rsidRPr="00442EF9">
        <w:rPr>
          <w:color w:val="000000" w:themeColor="text1"/>
          <w:sz w:val="18"/>
          <w:szCs w:val="18"/>
          <w:lang w:val="en-US"/>
        </w:rPr>
        <w:t xml:space="preserve"> </w:t>
      </w:r>
    </w:p>
    <w:p w14:paraId="661CEFB4" w14:textId="77777777" w:rsidR="007C6396" w:rsidRPr="001A492B" w:rsidRDefault="007C6396" w:rsidP="005A40D7">
      <w:pPr>
        <w:rPr>
          <w:color w:val="1F497D" w:themeColor="text2"/>
          <w:lang w:val="en-US"/>
        </w:rPr>
      </w:pPr>
    </w:p>
    <w:p w14:paraId="4A4F6A51" w14:textId="0A36BB2B" w:rsidR="007C6396" w:rsidRDefault="001C4C96" w:rsidP="00692004">
      <w:pPr>
        <w:pStyle w:val="Titolo2"/>
        <w:spacing w:line="360" w:lineRule="auto"/>
        <w:rPr>
          <w:sz w:val="28"/>
          <w:szCs w:val="28"/>
          <w:lang w:val="en-US"/>
        </w:rPr>
      </w:pPr>
      <w:bookmarkStart w:id="28" w:name="_Toc219243292"/>
      <w:r w:rsidRPr="001C4C96">
        <w:rPr>
          <w:sz w:val="28"/>
          <w:szCs w:val="28"/>
          <w:lang w:val="en-US"/>
        </w:rPr>
        <w:t>3.</w:t>
      </w:r>
      <w:r w:rsidR="00692004">
        <w:rPr>
          <w:sz w:val="28"/>
          <w:szCs w:val="28"/>
          <w:lang w:val="en-US"/>
        </w:rPr>
        <w:t>4</w:t>
      </w:r>
      <w:r w:rsidRPr="001C4C96">
        <w:rPr>
          <w:sz w:val="28"/>
          <w:szCs w:val="28"/>
          <w:lang w:val="en-US"/>
        </w:rPr>
        <w:t xml:space="preserve"> Periodontal disease classification used in recruiting</w:t>
      </w:r>
      <w:bookmarkEnd w:id="28"/>
      <w:r w:rsidRPr="001C4C96">
        <w:rPr>
          <w:sz w:val="28"/>
          <w:szCs w:val="28"/>
          <w:lang w:val="en-US"/>
        </w:rPr>
        <w:t xml:space="preserve"> </w:t>
      </w:r>
    </w:p>
    <w:p w14:paraId="0592033B" w14:textId="7FC31472" w:rsidR="00B95399" w:rsidRPr="00B95399" w:rsidRDefault="00B95399" w:rsidP="00692004">
      <w:pPr>
        <w:spacing w:line="360" w:lineRule="auto"/>
        <w:jc w:val="both"/>
        <w:rPr>
          <w:color w:val="000000" w:themeColor="text1"/>
          <w:lang w:val="en-US"/>
        </w:rPr>
      </w:pPr>
      <w:r w:rsidRPr="00B95399">
        <w:rPr>
          <w:color w:val="000000" w:themeColor="text1"/>
          <w:lang w:val="en-US"/>
        </w:rPr>
        <w:t>Periodontal screening was performed by dentists immediately following gynecological recruitment.</w:t>
      </w:r>
    </w:p>
    <w:p w14:paraId="344EE605" w14:textId="158446D8" w:rsidR="002F7DB4" w:rsidRPr="005A40D7" w:rsidRDefault="005A40D7" w:rsidP="001C4C96">
      <w:pPr>
        <w:spacing w:line="360" w:lineRule="auto"/>
        <w:jc w:val="both"/>
        <w:rPr>
          <w:color w:val="000000" w:themeColor="text1"/>
          <w:vertAlign w:val="superscript"/>
          <w:lang w:val="en-US"/>
        </w:rPr>
      </w:pPr>
      <w:r w:rsidRPr="005A40D7">
        <w:rPr>
          <w:color w:val="000000" w:themeColor="text1"/>
          <w:lang w:val="en-US"/>
        </w:rPr>
        <w:t>The periodontal parameters assessed and recorded were based on the latest classification of periodontal disease as defined by the American Academy of Periodontology (AAP) and the European Federation of Periodontology (EFP) in 2017, updating the previous classification system</w:t>
      </w:r>
      <w:r w:rsidR="0027368D" w:rsidRPr="005A40D7">
        <w:rPr>
          <w:color w:val="000000" w:themeColor="text1"/>
          <w:vertAlign w:val="superscript"/>
          <w:lang w:val="en-US"/>
        </w:rPr>
        <w:t>258</w:t>
      </w:r>
      <w:r w:rsidR="0027368D" w:rsidRPr="005A40D7">
        <w:rPr>
          <w:color w:val="000000" w:themeColor="text1"/>
          <w:lang w:val="en-US"/>
        </w:rPr>
        <w:t xml:space="preserve">. </w:t>
      </w:r>
      <w:r w:rsidR="009A7234" w:rsidRPr="009A7234">
        <w:rPr>
          <w:i/>
          <w:iCs/>
          <w:color w:val="000000" w:themeColor="text1"/>
          <w:lang w:val="en-US"/>
        </w:rPr>
        <w:t>(Table 1)</w:t>
      </w:r>
    </w:p>
    <w:p w14:paraId="53B38616" w14:textId="465DE8B0" w:rsidR="005A40D7" w:rsidRPr="005A40D7" w:rsidRDefault="005A40D7" w:rsidP="005A40D7">
      <w:pPr>
        <w:spacing w:line="360" w:lineRule="auto"/>
        <w:jc w:val="both"/>
        <w:rPr>
          <w:color w:val="000000" w:themeColor="text1"/>
          <w:lang w:val="en-US"/>
        </w:rPr>
      </w:pPr>
      <w:r w:rsidRPr="005A40D7">
        <w:rPr>
          <w:color w:val="000000" w:themeColor="text1"/>
          <w:lang w:val="en-US"/>
        </w:rPr>
        <w:t xml:space="preserve">The instruments utilized for periodontal screening included an intraoral mirror and the Williams periodontal probe </w:t>
      </w:r>
      <w:r w:rsidRPr="005A40D7">
        <w:rPr>
          <w:i/>
          <w:iCs/>
          <w:color w:val="000000" w:themeColor="text1"/>
          <w:lang w:val="en-US"/>
        </w:rPr>
        <w:t>(Hu-Friedy, Chicago, IL, USA).</w:t>
      </w:r>
    </w:p>
    <w:p w14:paraId="292BCCDD" w14:textId="77777777" w:rsidR="005A40D7" w:rsidRPr="005A40D7" w:rsidRDefault="005A40D7" w:rsidP="005A40D7">
      <w:pPr>
        <w:spacing w:line="360" w:lineRule="auto"/>
        <w:jc w:val="both"/>
        <w:rPr>
          <w:color w:val="000000" w:themeColor="text1"/>
          <w:lang w:val="en-US"/>
        </w:rPr>
      </w:pPr>
      <w:r w:rsidRPr="005A40D7">
        <w:rPr>
          <w:color w:val="000000" w:themeColor="text1"/>
          <w:lang w:val="en-US"/>
        </w:rPr>
        <w:t xml:space="preserve">All surfaces of all present teeth were examined using the Plaque Index </w:t>
      </w:r>
      <w:r w:rsidRPr="005A40D7">
        <w:rPr>
          <w:i/>
          <w:iCs/>
          <w:color w:val="000000" w:themeColor="text1"/>
          <w:lang w:val="en-US"/>
        </w:rPr>
        <w:t>(PI)</w:t>
      </w:r>
      <w:r w:rsidRPr="005A40D7">
        <w:rPr>
          <w:color w:val="000000" w:themeColor="text1"/>
          <w:lang w:val="en-US"/>
        </w:rPr>
        <w:t xml:space="preserve"> and Gingival Index </w:t>
      </w:r>
      <w:r w:rsidRPr="005A40D7">
        <w:rPr>
          <w:i/>
          <w:iCs/>
          <w:color w:val="000000" w:themeColor="text1"/>
          <w:lang w:val="en-US"/>
        </w:rPr>
        <w:t>(GI),</w:t>
      </w:r>
      <w:r w:rsidRPr="005A40D7">
        <w:rPr>
          <w:color w:val="000000" w:themeColor="text1"/>
          <w:lang w:val="en-US"/>
        </w:rPr>
        <w:t xml:space="preserve"> and the mean values were recorded.</w:t>
      </w:r>
    </w:p>
    <w:p w14:paraId="7237DE03" w14:textId="77777777" w:rsidR="005A40D7" w:rsidRPr="005A40D7" w:rsidRDefault="005A40D7" w:rsidP="005A40D7">
      <w:pPr>
        <w:spacing w:line="360" w:lineRule="auto"/>
        <w:jc w:val="both"/>
        <w:rPr>
          <w:color w:val="000000" w:themeColor="text1"/>
          <w:lang w:val="en-US"/>
        </w:rPr>
      </w:pPr>
      <w:r w:rsidRPr="005A40D7">
        <w:rPr>
          <w:color w:val="000000" w:themeColor="text1"/>
          <w:lang w:val="en-US"/>
        </w:rPr>
        <w:t>Periodontal pockets were measured as the distance from the gingival margin to the position of the periodontal probe tip inserted into the pocket using the Williams probe.</w:t>
      </w:r>
    </w:p>
    <w:p w14:paraId="644D02F6" w14:textId="77777777" w:rsidR="005A40D7" w:rsidRPr="005A40D7" w:rsidRDefault="005A40D7" w:rsidP="005A40D7">
      <w:pPr>
        <w:spacing w:line="360" w:lineRule="auto"/>
        <w:jc w:val="both"/>
        <w:rPr>
          <w:color w:val="000000" w:themeColor="text1"/>
          <w:lang w:val="en-US"/>
        </w:rPr>
      </w:pPr>
      <w:r w:rsidRPr="005A40D7">
        <w:rPr>
          <w:color w:val="000000" w:themeColor="text1"/>
          <w:lang w:val="en-US"/>
        </w:rPr>
        <w:lastRenderedPageBreak/>
        <w:t xml:space="preserve">Pocket depth was assessed on each tooth at six sites, namely </w:t>
      </w:r>
      <w:proofErr w:type="spellStart"/>
      <w:r w:rsidRPr="005A40D7">
        <w:rPr>
          <w:color w:val="000000" w:themeColor="text1"/>
          <w:lang w:val="en-US"/>
        </w:rPr>
        <w:t>mesiobuccal</w:t>
      </w:r>
      <w:proofErr w:type="spellEnd"/>
      <w:r w:rsidRPr="005A40D7">
        <w:rPr>
          <w:color w:val="000000" w:themeColor="text1"/>
          <w:lang w:val="en-US"/>
        </w:rPr>
        <w:t xml:space="preserve">, buccal, distobuccal, </w:t>
      </w:r>
      <w:proofErr w:type="spellStart"/>
      <w:r w:rsidRPr="005A40D7">
        <w:rPr>
          <w:color w:val="000000" w:themeColor="text1"/>
          <w:lang w:val="en-US"/>
        </w:rPr>
        <w:t>mesiolingual</w:t>
      </w:r>
      <w:proofErr w:type="spellEnd"/>
      <w:r w:rsidRPr="005A40D7">
        <w:rPr>
          <w:color w:val="000000" w:themeColor="text1"/>
          <w:lang w:val="en-US"/>
        </w:rPr>
        <w:t>, lingual, and distolingual, and the mean value was calculated.</w:t>
      </w:r>
    </w:p>
    <w:p w14:paraId="79778A87" w14:textId="33C9E2AE" w:rsidR="005A40D7" w:rsidRPr="005A40D7" w:rsidRDefault="005A40D7" w:rsidP="005A40D7">
      <w:pPr>
        <w:spacing w:line="360" w:lineRule="auto"/>
        <w:jc w:val="both"/>
        <w:rPr>
          <w:color w:val="000000" w:themeColor="text1"/>
          <w:lang w:val="en-US"/>
        </w:rPr>
      </w:pPr>
      <w:r w:rsidRPr="005A40D7">
        <w:rPr>
          <w:color w:val="000000" w:themeColor="text1"/>
          <w:lang w:val="en-US"/>
        </w:rPr>
        <w:t xml:space="preserve">Clinical attachment loss </w:t>
      </w:r>
      <w:r w:rsidRPr="005A40D7">
        <w:rPr>
          <w:i/>
          <w:iCs/>
          <w:color w:val="000000" w:themeColor="text1"/>
          <w:lang w:val="en-US"/>
        </w:rPr>
        <w:t>(CAL)</w:t>
      </w:r>
      <w:r w:rsidRPr="005A40D7">
        <w:rPr>
          <w:color w:val="000000" w:themeColor="text1"/>
          <w:lang w:val="en-US"/>
        </w:rPr>
        <w:t xml:space="preserve"> was measured as the distance from a fixed anatomical reference point, that is the cementoenamel junction </w:t>
      </w:r>
      <w:r w:rsidRPr="005A40D7">
        <w:rPr>
          <w:i/>
          <w:iCs/>
          <w:color w:val="000000" w:themeColor="text1"/>
          <w:lang w:val="en-US"/>
        </w:rPr>
        <w:t>(CEJ),</w:t>
      </w:r>
      <w:r w:rsidRPr="005A40D7">
        <w:rPr>
          <w:color w:val="000000" w:themeColor="text1"/>
          <w:lang w:val="en-US"/>
        </w:rPr>
        <w:t xml:space="preserve"> to the base of the probable pocket using the Williams probe. Based on the mean CAL scores, the severity of periodontal disease was classified</w:t>
      </w:r>
      <w:r w:rsidR="007C6396">
        <w:rPr>
          <w:rStyle w:val="Rimandonotadichiusura"/>
          <w:color w:val="000000" w:themeColor="text1"/>
          <w:lang w:val="en-US"/>
        </w:rPr>
        <w:endnoteReference w:id="260"/>
      </w:r>
      <w:r w:rsidRPr="005A40D7">
        <w:rPr>
          <w:color w:val="000000" w:themeColor="text1"/>
          <w:lang w:val="en-US"/>
        </w:rPr>
        <w:t>.</w:t>
      </w:r>
    </w:p>
    <w:p w14:paraId="7A05F58D" w14:textId="552BAEFF" w:rsidR="002F7DB4" w:rsidRPr="000E611B" w:rsidRDefault="005A40D7" w:rsidP="000D4C09">
      <w:pPr>
        <w:spacing w:line="360" w:lineRule="auto"/>
        <w:jc w:val="both"/>
        <w:rPr>
          <w:lang w:val="en-US"/>
        </w:rPr>
      </w:pPr>
      <w:r w:rsidRPr="005A40D7">
        <w:rPr>
          <w:color w:val="000000" w:themeColor="text1"/>
          <w:lang w:val="en-US"/>
        </w:rPr>
        <w:t xml:space="preserve">Individuals without gingivitis or periodontitis were considered to have a healthy periodontal status, and </w:t>
      </w:r>
      <w:r w:rsidRPr="000E611B">
        <w:rPr>
          <w:lang w:val="en-US"/>
        </w:rPr>
        <w:t>full-mouth radiographs were not deemed necessary to confirm this health condition.</w:t>
      </w:r>
    </w:p>
    <w:p w14:paraId="51AA1144" w14:textId="249BD152" w:rsidR="002F7DB4" w:rsidRPr="000E611B" w:rsidRDefault="002F7DB4" w:rsidP="002F7DB4">
      <w:pPr>
        <w:rPr>
          <w:lang w:val="en-US"/>
        </w:rPr>
      </w:pPr>
    </w:p>
    <w:p w14:paraId="52FE8B33" w14:textId="1BB46FB9" w:rsidR="00E73227" w:rsidRPr="000E611B" w:rsidRDefault="001C4C96" w:rsidP="001C4C96">
      <w:pPr>
        <w:pStyle w:val="Titolo2"/>
        <w:spacing w:line="360" w:lineRule="auto"/>
        <w:rPr>
          <w:color w:val="auto"/>
          <w:sz w:val="28"/>
          <w:szCs w:val="28"/>
          <w:lang w:val="en-US"/>
        </w:rPr>
      </w:pPr>
      <w:bookmarkStart w:id="29" w:name="_Toc219243293"/>
      <w:r w:rsidRPr="000E611B">
        <w:rPr>
          <w:color w:val="auto"/>
          <w:sz w:val="28"/>
          <w:szCs w:val="28"/>
          <w:lang w:val="en-US"/>
        </w:rPr>
        <w:t>3.</w:t>
      </w:r>
      <w:r w:rsidR="00692004" w:rsidRPr="000E611B">
        <w:rPr>
          <w:color w:val="auto"/>
          <w:sz w:val="28"/>
          <w:szCs w:val="28"/>
          <w:lang w:val="en-US"/>
        </w:rPr>
        <w:t>5</w:t>
      </w:r>
      <w:r w:rsidRPr="000E611B">
        <w:rPr>
          <w:color w:val="auto"/>
          <w:sz w:val="28"/>
          <w:szCs w:val="28"/>
          <w:lang w:val="en-US"/>
        </w:rPr>
        <w:t xml:space="preserve"> </w:t>
      </w:r>
      <w:r w:rsidR="002F7DB4" w:rsidRPr="000E611B">
        <w:rPr>
          <w:color w:val="auto"/>
          <w:sz w:val="28"/>
          <w:szCs w:val="28"/>
          <w:lang w:val="en-US"/>
        </w:rPr>
        <w:t>Saliva Sampling</w:t>
      </w:r>
      <w:bookmarkEnd w:id="29"/>
      <w:r w:rsidR="002F7DB4" w:rsidRPr="000E611B">
        <w:rPr>
          <w:color w:val="auto"/>
          <w:sz w:val="28"/>
          <w:szCs w:val="28"/>
          <w:lang w:val="en-US"/>
        </w:rPr>
        <w:t xml:space="preserve"> </w:t>
      </w:r>
    </w:p>
    <w:p w14:paraId="7360B2CF" w14:textId="77777777" w:rsidR="0027368D" w:rsidRPr="0027368D" w:rsidRDefault="0027368D" w:rsidP="001C4C96">
      <w:pPr>
        <w:spacing w:line="360" w:lineRule="auto"/>
        <w:jc w:val="both"/>
        <w:rPr>
          <w:color w:val="000000" w:themeColor="text1"/>
          <w:lang w:val="en-US"/>
        </w:rPr>
      </w:pPr>
      <w:r w:rsidRPr="000E611B">
        <w:rPr>
          <w:lang w:val="en-US"/>
        </w:rPr>
        <w:t xml:space="preserve">Saliva sampling was performed following the dental examination of the recruited eligible patients, using sterile tubes into </w:t>
      </w:r>
      <w:r w:rsidRPr="0027368D">
        <w:rPr>
          <w:color w:val="000000" w:themeColor="text1"/>
          <w:lang w:val="en-US"/>
        </w:rPr>
        <w:t>which patients collected their saliva sample.</w:t>
      </w:r>
    </w:p>
    <w:p w14:paraId="5FB8B492" w14:textId="77777777" w:rsidR="0027368D" w:rsidRPr="0027368D" w:rsidRDefault="0027368D" w:rsidP="005F2F88">
      <w:pPr>
        <w:spacing w:line="360" w:lineRule="auto"/>
        <w:jc w:val="both"/>
        <w:rPr>
          <w:color w:val="000000" w:themeColor="text1"/>
          <w:lang w:val="en-US"/>
        </w:rPr>
      </w:pPr>
      <w:r w:rsidRPr="0027368D">
        <w:rPr>
          <w:color w:val="000000" w:themeColor="text1"/>
          <w:lang w:val="en-US"/>
        </w:rPr>
        <w:t>Prior to saliva collection, all patients were instructed to:</w:t>
      </w:r>
    </w:p>
    <w:p w14:paraId="4BF42B2A" w14:textId="0E86D1B7" w:rsidR="0027368D" w:rsidRPr="0027368D" w:rsidRDefault="0027368D" w:rsidP="005F2F88">
      <w:pPr>
        <w:spacing w:line="360" w:lineRule="auto"/>
        <w:jc w:val="both"/>
        <w:rPr>
          <w:color w:val="000000" w:themeColor="text1"/>
          <w:lang w:val="en-US"/>
        </w:rPr>
      </w:pPr>
      <w:r>
        <w:rPr>
          <w:color w:val="000000" w:themeColor="text1"/>
          <w:lang w:val="en-US"/>
        </w:rPr>
        <w:t>r</w:t>
      </w:r>
      <w:r w:rsidRPr="0027368D">
        <w:rPr>
          <w:color w:val="000000" w:themeColor="text1"/>
          <w:lang w:val="en-US"/>
        </w:rPr>
        <w:t>efrain from drinking, eating, and chewing gum for at least 2 hours before sampling</w:t>
      </w:r>
      <w:r>
        <w:rPr>
          <w:color w:val="000000" w:themeColor="text1"/>
          <w:lang w:val="en-US"/>
        </w:rPr>
        <w:t>;</w:t>
      </w:r>
    </w:p>
    <w:p w14:paraId="6EC30542" w14:textId="4D9CB821" w:rsidR="0027368D" w:rsidRPr="0027368D" w:rsidRDefault="0027368D" w:rsidP="005F2F88">
      <w:pPr>
        <w:spacing w:line="360" w:lineRule="auto"/>
        <w:jc w:val="both"/>
        <w:rPr>
          <w:color w:val="000000" w:themeColor="text1"/>
          <w:lang w:val="en-US"/>
        </w:rPr>
      </w:pPr>
      <w:r>
        <w:rPr>
          <w:color w:val="000000" w:themeColor="text1"/>
          <w:lang w:val="en-US"/>
        </w:rPr>
        <w:t>a</w:t>
      </w:r>
      <w:r w:rsidRPr="0027368D">
        <w:rPr>
          <w:color w:val="000000" w:themeColor="text1"/>
          <w:lang w:val="en-US"/>
        </w:rPr>
        <w:t>void using chlorhexidine-based mouthrinses and not undergo antibiotic therapy in the 6 months preceding saliva collection.</w:t>
      </w:r>
    </w:p>
    <w:p w14:paraId="6445E5F1" w14:textId="678474EE" w:rsidR="001C4C96" w:rsidRPr="00692004" w:rsidRDefault="0027368D" w:rsidP="001C4C96">
      <w:pPr>
        <w:pStyle w:val="Paragrafoelenco"/>
        <w:tabs>
          <w:tab w:val="left" w:pos="1337"/>
        </w:tabs>
        <w:spacing w:line="360" w:lineRule="auto"/>
        <w:ind w:left="0"/>
        <w:jc w:val="both"/>
        <w:rPr>
          <w:lang w:val="en-US"/>
        </w:rPr>
      </w:pPr>
      <w:r w:rsidRPr="0027368D">
        <w:rPr>
          <w:color w:val="000000" w:themeColor="text1"/>
          <w:lang w:val="en-US"/>
        </w:rPr>
        <w:t>Following the sampling procedure, two dental operators (FA and FR) were tasked with collecting the saliva from each sample using 5 sterile paper cones, subsequently placing the cones into the appropriate collection tubes provided by the Biomolecular</w:t>
      </w:r>
      <w:r w:rsidR="001C4C96">
        <w:rPr>
          <w:color w:val="000000" w:themeColor="text1"/>
          <w:lang w:val="en-US"/>
        </w:rPr>
        <w:t xml:space="preserve"> </w:t>
      </w:r>
      <w:r w:rsidRPr="0027368D">
        <w:rPr>
          <w:color w:val="000000" w:themeColor="text1"/>
          <w:lang w:val="en-US"/>
        </w:rPr>
        <w:t>Diagnostic kit.</w:t>
      </w:r>
      <w:r w:rsidR="001C4C96">
        <w:rPr>
          <w:color w:val="000000" w:themeColor="text1"/>
          <w:lang w:val="en-US"/>
        </w:rPr>
        <w:t xml:space="preserve"> </w:t>
      </w:r>
      <w:r w:rsidR="009A7234" w:rsidRPr="009A7234">
        <w:rPr>
          <w:i/>
          <w:iCs/>
          <w:color w:val="000000" w:themeColor="text1"/>
          <w:lang w:val="en-US"/>
        </w:rPr>
        <w:t>(Figure 11</w:t>
      </w:r>
      <w:r w:rsidR="003020BD">
        <w:rPr>
          <w:i/>
          <w:iCs/>
          <w:color w:val="000000" w:themeColor="text1"/>
          <w:lang w:val="en-US"/>
        </w:rPr>
        <w:t>-12)</w:t>
      </w:r>
    </w:p>
    <w:p w14:paraId="4747BE9A" w14:textId="4C7C92DF" w:rsidR="0027368D" w:rsidRPr="00B95399" w:rsidRDefault="00B95399" w:rsidP="005F2F88">
      <w:pPr>
        <w:spacing w:line="360" w:lineRule="auto"/>
        <w:jc w:val="both"/>
        <w:rPr>
          <w:color w:val="000000" w:themeColor="text1"/>
          <w:lang w:val="en-US"/>
        </w:rPr>
      </w:pPr>
      <w:r w:rsidRPr="00B95399">
        <w:rPr>
          <w:color w:val="000000" w:themeColor="text1"/>
          <w:lang w:val="en-US"/>
        </w:rPr>
        <w:t>All kits containing paper points were stored under refrigerated conditions (2–8 °C) for short-term storage throughout the 10-day collection period before being shipped to the same company for subsequent analysis.</w:t>
      </w:r>
    </w:p>
    <w:p w14:paraId="24E24224" w14:textId="1050B9A2" w:rsidR="002F7DB4" w:rsidRPr="00B95399" w:rsidRDefault="002F7DB4" w:rsidP="002F7DB4">
      <w:pPr>
        <w:rPr>
          <w:color w:val="000000" w:themeColor="text1"/>
          <w:sz w:val="28"/>
          <w:szCs w:val="28"/>
          <w:lang w:val="en-US"/>
        </w:rPr>
      </w:pPr>
    </w:p>
    <w:p w14:paraId="3649B59D" w14:textId="10490B81" w:rsidR="00D76201" w:rsidRPr="007C6396" w:rsidRDefault="00D76201" w:rsidP="00D76201">
      <w:pPr>
        <w:pStyle w:val="Titolo2"/>
        <w:spacing w:line="360" w:lineRule="auto"/>
        <w:jc w:val="both"/>
        <w:rPr>
          <w:sz w:val="28"/>
          <w:szCs w:val="28"/>
          <w:lang w:val="en-US"/>
        </w:rPr>
      </w:pPr>
      <w:bookmarkStart w:id="30" w:name="_Toc219243294"/>
      <w:r w:rsidRPr="007C6396">
        <w:rPr>
          <w:sz w:val="28"/>
          <w:szCs w:val="28"/>
          <w:lang w:val="en-US"/>
        </w:rPr>
        <w:t>3</w:t>
      </w:r>
      <w:r w:rsidR="002F7DB4" w:rsidRPr="007C6396">
        <w:rPr>
          <w:sz w:val="28"/>
          <w:szCs w:val="28"/>
          <w:lang w:val="en-US"/>
        </w:rPr>
        <w:t>.</w:t>
      </w:r>
      <w:r w:rsidR="00692004">
        <w:rPr>
          <w:sz w:val="28"/>
          <w:szCs w:val="28"/>
          <w:lang w:val="en-US"/>
        </w:rPr>
        <w:t>6</w:t>
      </w:r>
      <w:r w:rsidR="002F7DB4" w:rsidRPr="007C6396">
        <w:rPr>
          <w:sz w:val="28"/>
          <w:szCs w:val="28"/>
          <w:lang w:val="en-US"/>
        </w:rPr>
        <w:t xml:space="preserve"> </w:t>
      </w:r>
      <w:r w:rsidRPr="007C6396">
        <w:rPr>
          <w:sz w:val="28"/>
          <w:szCs w:val="28"/>
          <w:lang w:val="en-US"/>
        </w:rPr>
        <w:t>T</w:t>
      </w:r>
      <w:r w:rsidR="002F7DB4" w:rsidRPr="007C6396">
        <w:rPr>
          <w:sz w:val="28"/>
          <w:szCs w:val="28"/>
          <w:lang w:val="en-US"/>
        </w:rPr>
        <w:t>he saliva test</w:t>
      </w:r>
      <w:r w:rsidR="007C6396">
        <w:rPr>
          <w:sz w:val="28"/>
          <w:szCs w:val="28"/>
          <w:lang w:val="en-US"/>
        </w:rPr>
        <w:t>ing</w:t>
      </w:r>
      <w:r w:rsidR="007C6396" w:rsidRPr="007C6396">
        <w:rPr>
          <w:sz w:val="28"/>
          <w:szCs w:val="28"/>
          <w:lang w:val="en-US"/>
        </w:rPr>
        <w:t xml:space="preserve"> and R</w:t>
      </w:r>
      <w:r w:rsidR="007C6396">
        <w:rPr>
          <w:sz w:val="28"/>
          <w:szCs w:val="28"/>
          <w:lang w:val="en-US"/>
        </w:rPr>
        <w:t>eal-PCR</w:t>
      </w:r>
      <w:bookmarkEnd w:id="30"/>
    </w:p>
    <w:p w14:paraId="05AA53CD" w14:textId="77777777" w:rsidR="00D76201" w:rsidRDefault="00D76201" w:rsidP="005F2F88">
      <w:pPr>
        <w:spacing w:line="360" w:lineRule="auto"/>
        <w:jc w:val="both"/>
        <w:rPr>
          <w:color w:val="000000" w:themeColor="text1"/>
          <w:lang w:val="en-US"/>
        </w:rPr>
      </w:pPr>
      <w:r w:rsidRPr="00D76201">
        <w:rPr>
          <w:color w:val="000000" w:themeColor="text1"/>
          <w:lang w:val="en-US"/>
        </w:rPr>
        <w:t>The BPA microbiological test (Bacterial Periodontal Assessment), performed by Biomolecular Diagnostic using RealTime PCR methodology, provides qualitative and quantitative results concerning bacterial, fungal, and viral populations present in the oral cavity, responsible for periodontitis and implant-related complications.</w:t>
      </w:r>
    </w:p>
    <w:p w14:paraId="725DA12F" w14:textId="03C791DC" w:rsidR="00D76201" w:rsidRPr="00D76201" w:rsidRDefault="005C50DE" w:rsidP="005F2F88">
      <w:pPr>
        <w:spacing w:line="360" w:lineRule="auto"/>
        <w:jc w:val="both"/>
        <w:rPr>
          <w:color w:val="000000" w:themeColor="text1"/>
          <w:lang w:val="en-US"/>
        </w:rPr>
      </w:pPr>
      <w:r w:rsidRPr="005C50DE">
        <w:rPr>
          <w:color w:val="000000" w:themeColor="text1"/>
          <w:lang w:val="en-US"/>
        </w:rPr>
        <w:t xml:space="preserve">Real-Time PCR is a highly sensitive and specific molecular technique that enables the amplification and simultaneous quantification of target DNA sequences through the </w:t>
      </w:r>
      <w:r w:rsidRPr="005C50DE">
        <w:rPr>
          <w:color w:val="000000" w:themeColor="text1"/>
          <w:lang w:val="en-US"/>
        </w:rPr>
        <w:lastRenderedPageBreak/>
        <w:t>detection of fluorescent signals generated during the amplification process. During analysis, specific primers and fluorescent probes bind to target microbial DNA sequences, and the progressive increase in fluorescence intensity at each amplification cycle is directly proportional to the amount of amplified product, allowing real-time monitoring and accurate quantification of low-abundance microorganisms. Owing to its high analytical sensitivity and precision, this methodology is particularly suitable for the investigation of complex microbial communities, such as the oral microbiota</w:t>
      </w:r>
      <w:r w:rsidR="00C7233E">
        <w:rPr>
          <w:rStyle w:val="Rimandonotadichiusura"/>
          <w:color w:val="000000" w:themeColor="text1"/>
          <w:lang w:val="en-US"/>
        </w:rPr>
        <w:endnoteReference w:id="261"/>
      </w:r>
      <w:r w:rsidR="00C7233E">
        <w:rPr>
          <w:color w:val="000000" w:themeColor="text1"/>
          <w:lang w:val="en-US"/>
        </w:rPr>
        <w:t xml:space="preserve">. </w:t>
      </w:r>
      <w:r w:rsidR="00D76201" w:rsidRPr="00D76201">
        <w:rPr>
          <w:color w:val="000000" w:themeColor="text1"/>
          <w:lang w:val="en-US"/>
        </w:rPr>
        <w:t>The test may furnish indications regarding the overall composition of the populations present in the oral cavity (multisite BPA), or specific indications for individual periodontal pocket sites (site-specific BPA).</w:t>
      </w:r>
      <w:r w:rsidR="009A7234">
        <w:rPr>
          <w:color w:val="000000" w:themeColor="text1"/>
          <w:lang w:val="en-US"/>
        </w:rPr>
        <w:t xml:space="preserve"> </w:t>
      </w:r>
      <w:r w:rsidR="009A7234" w:rsidRPr="003020BD">
        <w:rPr>
          <w:i/>
          <w:iCs/>
          <w:color w:val="000000" w:themeColor="text1"/>
          <w:lang w:val="en-US"/>
        </w:rPr>
        <w:t>(</w:t>
      </w:r>
      <w:r w:rsidR="003020BD">
        <w:rPr>
          <w:i/>
          <w:iCs/>
          <w:color w:val="000000" w:themeColor="text1"/>
          <w:lang w:val="en-US"/>
        </w:rPr>
        <w:t>Table 2</w:t>
      </w:r>
      <w:r w:rsidR="003020BD" w:rsidRPr="003020BD">
        <w:rPr>
          <w:i/>
          <w:iCs/>
          <w:color w:val="000000" w:themeColor="text1"/>
          <w:lang w:val="en-US"/>
        </w:rPr>
        <w:t>)</w:t>
      </w:r>
    </w:p>
    <w:p w14:paraId="74841044" w14:textId="07E5426F" w:rsidR="00D76201" w:rsidRPr="000E611B" w:rsidRDefault="00D76201" w:rsidP="000D4C09">
      <w:pPr>
        <w:spacing w:line="360" w:lineRule="auto"/>
        <w:jc w:val="both"/>
        <w:rPr>
          <w:lang w:val="en-US"/>
        </w:rPr>
      </w:pPr>
      <w:r w:rsidRPr="00D76201">
        <w:rPr>
          <w:color w:val="000000" w:themeColor="text1"/>
          <w:lang w:val="en-US"/>
        </w:rPr>
        <w:t xml:space="preserve">The </w:t>
      </w:r>
      <w:r w:rsidRPr="000E611B">
        <w:rPr>
          <w:lang w:val="en-US"/>
        </w:rPr>
        <w:t>BPA test provides various levels of analytical depth, thereby responding to the diverse clinical requirements of the practitioner.</w:t>
      </w:r>
    </w:p>
    <w:p w14:paraId="536576AE" w14:textId="08B9FBCD" w:rsidR="002F7DB4" w:rsidRPr="000E611B" w:rsidRDefault="002F7DB4" w:rsidP="002F7DB4">
      <w:pPr>
        <w:rPr>
          <w:lang w:val="en-US"/>
        </w:rPr>
      </w:pPr>
    </w:p>
    <w:p w14:paraId="7686D2EA" w14:textId="2311DE85" w:rsidR="002F7DB4" w:rsidRPr="00D76201" w:rsidRDefault="00D76201" w:rsidP="00D76201">
      <w:pPr>
        <w:pStyle w:val="Titolo2"/>
        <w:spacing w:line="360" w:lineRule="auto"/>
        <w:rPr>
          <w:sz w:val="28"/>
          <w:szCs w:val="28"/>
          <w:lang w:val="en-US"/>
        </w:rPr>
      </w:pPr>
      <w:bookmarkStart w:id="31" w:name="_Toc219243295"/>
      <w:r w:rsidRPr="000E611B">
        <w:rPr>
          <w:color w:val="auto"/>
          <w:sz w:val="28"/>
          <w:szCs w:val="28"/>
          <w:lang w:val="en-US"/>
        </w:rPr>
        <w:t>3</w:t>
      </w:r>
      <w:r w:rsidR="002F7DB4" w:rsidRPr="000E611B">
        <w:rPr>
          <w:color w:val="auto"/>
          <w:sz w:val="28"/>
          <w:szCs w:val="28"/>
          <w:lang w:val="en-US"/>
        </w:rPr>
        <w:t>.</w:t>
      </w:r>
      <w:r w:rsidR="00692004" w:rsidRPr="000E611B">
        <w:rPr>
          <w:color w:val="auto"/>
          <w:sz w:val="28"/>
          <w:szCs w:val="28"/>
          <w:lang w:val="en-US"/>
        </w:rPr>
        <w:t>7</w:t>
      </w:r>
      <w:r w:rsidR="002F7DB4" w:rsidRPr="000E611B">
        <w:rPr>
          <w:color w:val="auto"/>
          <w:sz w:val="28"/>
          <w:szCs w:val="28"/>
          <w:lang w:val="en-US"/>
        </w:rPr>
        <w:t xml:space="preserve"> Statistical </w:t>
      </w:r>
      <w:r w:rsidR="002F7DB4" w:rsidRPr="00D76201">
        <w:rPr>
          <w:sz w:val="28"/>
          <w:szCs w:val="28"/>
          <w:lang w:val="en-US"/>
        </w:rPr>
        <w:t>Analysis</w:t>
      </w:r>
      <w:bookmarkEnd w:id="31"/>
    </w:p>
    <w:p w14:paraId="2D5655D1" w14:textId="13D3EEAA" w:rsidR="002F7DB4" w:rsidRPr="00D76201" w:rsidRDefault="002F7DB4" w:rsidP="00D76201">
      <w:pPr>
        <w:spacing w:line="360" w:lineRule="auto"/>
        <w:jc w:val="both"/>
        <w:rPr>
          <w:color w:val="000000" w:themeColor="text1"/>
          <w:lang w:val="en-US"/>
        </w:rPr>
      </w:pPr>
      <w:r w:rsidRPr="00D76201">
        <w:rPr>
          <w:color w:val="000000" w:themeColor="text1"/>
          <w:lang w:val="en-US"/>
        </w:rPr>
        <w:t>Due to the sample size, the data were analyzed using the Mann–Whitney test, followed by the Bonferroni post-hoc analysis for multiple comparisons. The hypothesis was considered null if the p value resulted &lt; 0.05. The calculations were performed sing GraphPad Prism version 10.6.1(892) for Windows, GraphPad Software, Boston, Massachusetts USA,</w:t>
      </w:r>
      <w:r w:rsidR="000E611B">
        <w:rPr>
          <w:color w:val="000000" w:themeColor="text1"/>
          <w:lang w:val="en-US"/>
        </w:rPr>
        <w:t xml:space="preserve"> </w:t>
      </w:r>
      <w:hyperlink r:id="rId20" w:history="1">
        <w:r w:rsidR="000E611B" w:rsidRPr="002A1396">
          <w:rPr>
            <w:rStyle w:val="Collegamentoipertestuale"/>
            <w:lang w:val="en-US"/>
          </w:rPr>
          <w:t>www.graphpad.com</w:t>
        </w:r>
      </w:hyperlink>
      <w:r w:rsidRPr="00D76201">
        <w:rPr>
          <w:color w:val="000000" w:themeColor="text1"/>
          <w:lang w:val="en-US"/>
        </w:rPr>
        <w:t>.</w:t>
      </w:r>
    </w:p>
    <w:p w14:paraId="642701AC" w14:textId="4BFCB4BA" w:rsidR="002F7DB4" w:rsidRPr="00B9192D" w:rsidRDefault="002F7DB4" w:rsidP="002F7DB4">
      <w:pPr>
        <w:rPr>
          <w:lang w:val="en-US"/>
        </w:rPr>
      </w:pPr>
    </w:p>
    <w:p w14:paraId="036BE82A" w14:textId="74FDE9BC" w:rsidR="005377EF" w:rsidRPr="00DB798D" w:rsidRDefault="005377EF" w:rsidP="00A73C1E">
      <w:pPr>
        <w:pStyle w:val="Titolo2"/>
        <w:spacing w:line="360" w:lineRule="auto"/>
        <w:rPr>
          <w:rFonts w:cs="Times New Roman"/>
          <w:color w:val="000000"/>
          <w:sz w:val="28"/>
          <w:szCs w:val="28"/>
          <w:lang w:val="en-US"/>
        </w:rPr>
      </w:pPr>
      <w:bookmarkStart w:id="32" w:name="_Toc219243296"/>
      <w:r w:rsidRPr="00DB798D">
        <w:rPr>
          <w:rFonts w:cs="Times New Roman"/>
          <w:color w:val="000000"/>
          <w:sz w:val="28"/>
          <w:szCs w:val="28"/>
          <w:lang w:val="en-US"/>
        </w:rPr>
        <w:t>3.</w:t>
      </w:r>
      <w:r w:rsidR="00692004" w:rsidRPr="00DB798D">
        <w:rPr>
          <w:rFonts w:cs="Times New Roman"/>
          <w:color w:val="000000"/>
          <w:sz w:val="28"/>
          <w:szCs w:val="28"/>
          <w:lang w:val="en-US"/>
        </w:rPr>
        <w:t>8</w:t>
      </w:r>
      <w:r w:rsidRPr="00DB798D">
        <w:rPr>
          <w:rFonts w:cs="Times New Roman"/>
          <w:color w:val="000000"/>
          <w:sz w:val="28"/>
          <w:szCs w:val="28"/>
          <w:lang w:val="en-US"/>
        </w:rPr>
        <w:t xml:space="preserve"> Ethics</w:t>
      </w:r>
      <w:bookmarkEnd w:id="32"/>
    </w:p>
    <w:p w14:paraId="440C13CB" w14:textId="68939A53" w:rsidR="00114426" w:rsidRDefault="00B96CE6" w:rsidP="000E611B">
      <w:pPr>
        <w:spacing w:line="360" w:lineRule="auto"/>
        <w:jc w:val="both"/>
        <w:rPr>
          <w:lang w:val="en-US"/>
        </w:rPr>
      </w:pPr>
      <w:r w:rsidRPr="00B96CE6">
        <w:rPr>
          <w:lang w:val="en-US"/>
        </w:rPr>
        <w:t>The present study was approved by the Medical Ethics Committee of the School of Dentistry “ALDENT” University of Tirana, Albania (approval number 18/1, March 4, 2025), and all participants reviewed, completed, and signed a written informed consent form.</w:t>
      </w:r>
    </w:p>
    <w:p w14:paraId="30B6FAF6" w14:textId="76C67EB7" w:rsidR="000E611B" w:rsidRDefault="000E611B">
      <w:pPr>
        <w:rPr>
          <w:lang w:val="en-US"/>
        </w:rPr>
      </w:pPr>
      <w:r>
        <w:rPr>
          <w:lang w:val="en-US"/>
        </w:rPr>
        <w:br w:type="page"/>
      </w:r>
    </w:p>
    <w:p w14:paraId="08ED0734" w14:textId="622CD3D0" w:rsidR="00402F8E" w:rsidRPr="005B37F1" w:rsidRDefault="00402F8E" w:rsidP="00402F8E">
      <w:r w:rsidRPr="006E7D97">
        <w:rPr>
          <w:noProof/>
        </w:rPr>
        <w:lastRenderedPageBreak/>
        <w:drawing>
          <wp:inline distT="0" distB="0" distL="0" distR="0" wp14:anchorId="470BC307" wp14:editId="0247B1AD">
            <wp:extent cx="5235268" cy="3955220"/>
            <wp:effectExtent l="0" t="0" r="0" b="0"/>
            <wp:docPr id="1995854159" name="Immagine 1" descr="Immagine che contiene testo, ricevuta, schermata, Paralle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54159" name="Immagine 1" descr="Immagine che contiene testo, ricevuta, schermata, Parallelo&#10;&#10;Descrizione generata automaticamente"/>
                    <pic:cNvPicPr/>
                  </pic:nvPicPr>
                  <pic:blipFill rotWithShape="1">
                    <a:blip r:embed="rId21">
                      <a:extLst>
                        <a:ext uri="{28A0092B-C50C-407E-A947-70E740481C1C}">
                          <a14:useLocalDpi xmlns:a14="http://schemas.microsoft.com/office/drawing/2010/main" val="0"/>
                        </a:ext>
                      </a:extLst>
                    </a:blip>
                    <a:srcRect t="6851"/>
                    <a:stretch/>
                  </pic:blipFill>
                  <pic:spPr bwMode="auto">
                    <a:xfrm>
                      <a:off x="0" y="0"/>
                      <a:ext cx="5251099" cy="3967180"/>
                    </a:xfrm>
                    <a:prstGeom prst="rect">
                      <a:avLst/>
                    </a:prstGeom>
                    <a:ln>
                      <a:noFill/>
                    </a:ln>
                    <a:extLst>
                      <a:ext uri="{53640926-AAD7-44D8-BBD7-CCE9431645EC}">
                        <a14:shadowObscured xmlns:a14="http://schemas.microsoft.com/office/drawing/2010/main"/>
                      </a:ext>
                    </a:extLst>
                  </pic:spPr>
                </pic:pic>
              </a:graphicData>
            </a:graphic>
          </wp:inline>
        </w:drawing>
      </w:r>
    </w:p>
    <w:p w14:paraId="0C129DC7" w14:textId="77777777" w:rsidR="009A7234" w:rsidRPr="009A7234" w:rsidRDefault="009A7234" w:rsidP="00402F8E">
      <w:pPr>
        <w:rPr>
          <w:sz w:val="18"/>
          <w:szCs w:val="18"/>
        </w:rPr>
      </w:pPr>
    </w:p>
    <w:p w14:paraId="03E4AD30" w14:textId="4477A329" w:rsidR="00402F8E" w:rsidRPr="009A7234" w:rsidRDefault="009A7234" w:rsidP="000E611B">
      <w:pPr>
        <w:jc w:val="both"/>
        <w:rPr>
          <w:sz w:val="18"/>
          <w:szCs w:val="18"/>
          <w:lang w:val="en-US"/>
        </w:rPr>
      </w:pPr>
      <w:r w:rsidRPr="009A7234">
        <w:rPr>
          <w:b/>
          <w:bCs/>
          <w:sz w:val="18"/>
          <w:szCs w:val="18"/>
          <w:lang w:val="en-US"/>
        </w:rPr>
        <w:t>Table 1</w:t>
      </w:r>
      <w:r w:rsidRPr="009A7234">
        <w:rPr>
          <w:sz w:val="18"/>
          <w:szCs w:val="18"/>
          <w:lang w:val="en-US"/>
        </w:rPr>
        <w:t xml:space="preserve"> </w:t>
      </w:r>
      <w:r w:rsidR="00114426" w:rsidRPr="009D4E82">
        <w:rPr>
          <w:b/>
          <w:bCs/>
          <w:sz w:val="18"/>
          <w:szCs w:val="18"/>
          <w:lang w:val="en-US"/>
        </w:rPr>
        <w:t>Classification of periodontitis</w:t>
      </w:r>
      <w:r w:rsidR="00114426" w:rsidRPr="009A7234">
        <w:rPr>
          <w:sz w:val="18"/>
          <w:szCs w:val="18"/>
          <w:lang w:val="en-US"/>
        </w:rPr>
        <w:t xml:space="preserve"> based on grades that reflect biologic features of the disease including evidence of, or risk for, rapid progression, anticipated treatment response, and effects on systemic health</w:t>
      </w:r>
    </w:p>
    <w:p w14:paraId="76D4B31F" w14:textId="77777777" w:rsidR="00402F8E" w:rsidRPr="00114426" w:rsidRDefault="00402F8E" w:rsidP="00402F8E">
      <w:pPr>
        <w:rPr>
          <w:lang w:val="en-US"/>
        </w:rPr>
      </w:pPr>
    </w:p>
    <w:p w14:paraId="4E1ED7C5" w14:textId="0833127E" w:rsidR="00402F8E" w:rsidRDefault="00114426" w:rsidP="009A7234">
      <w:pPr>
        <w:tabs>
          <w:tab w:val="left" w:pos="1337"/>
        </w:tabs>
        <w:jc w:val="center"/>
        <w:rPr>
          <w:b/>
          <w:bCs/>
          <w:lang w:val="en-US"/>
        </w:rPr>
      </w:pPr>
      <w:r>
        <w:rPr>
          <w:b/>
          <w:bCs/>
          <w:noProof/>
          <w:lang w:val="en-US"/>
        </w:rPr>
        <w:lastRenderedPageBreak/>
        <w:drawing>
          <wp:inline distT="0" distB="0" distL="0" distR="0" wp14:anchorId="2A59295E" wp14:editId="5D101F18">
            <wp:extent cx="4387775" cy="5345378"/>
            <wp:effectExtent l="0" t="0" r="0" b="0"/>
            <wp:docPr id="2137691204" name="Immagine 7"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91204" name="Immagine 7" descr="Immagine che contiene testo, schermata, Carattere, design&#10;&#10;Descrizione generata automaticamente"/>
                    <pic:cNvPicPr/>
                  </pic:nvPicPr>
                  <pic:blipFill rotWithShape="1">
                    <a:blip r:embed="rId22"/>
                    <a:srcRect l="19158" r="22212"/>
                    <a:stretch>
                      <a:fillRect/>
                    </a:stretch>
                  </pic:blipFill>
                  <pic:spPr bwMode="auto">
                    <a:xfrm>
                      <a:off x="0" y="0"/>
                      <a:ext cx="4415690" cy="5379386"/>
                    </a:xfrm>
                    <a:prstGeom prst="rect">
                      <a:avLst/>
                    </a:prstGeom>
                    <a:ln>
                      <a:noFill/>
                    </a:ln>
                    <a:extLst>
                      <a:ext uri="{53640926-AAD7-44D8-BBD7-CCE9431645EC}">
                        <a14:shadowObscured xmlns:a14="http://schemas.microsoft.com/office/drawing/2010/main"/>
                      </a:ext>
                    </a:extLst>
                  </pic:spPr>
                </pic:pic>
              </a:graphicData>
            </a:graphic>
          </wp:inline>
        </w:drawing>
      </w:r>
    </w:p>
    <w:p w14:paraId="7125F536" w14:textId="77777777" w:rsidR="00114426" w:rsidRPr="00272D1F" w:rsidRDefault="00114426" w:rsidP="00402F8E">
      <w:pPr>
        <w:tabs>
          <w:tab w:val="left" w:pos="1337"/>
        </w:tabs>
        <w:rPr>
          <w:b/>
          <w:bCs/>
          <w:lang w:val="en-US"/>
        </w:rPr>
      </w:pPr>
    </w:p>
    <w:p w14:paraId="57FA376C" w14:textId="0206407A" w:rsidR="00114426" w:rsidRPr="009A7234" w:rsidRDefault="00114426" w:rsidP="004C4FA7">
      <w:pPr>
        <w:rPr>
          <w:b/>
          <w:bCs/>
          <w:sz w:val="18"/>
          <w:szCs w:val="18"/>
          <w:lang w:val="en-US"/>
        </w:rPr>
      </w:pPr>
      <w:r w:rsidRPr="009D4E82">
        <w:rPr>
          <w:b/>
          <w:sz w:val="18"/>
          <w:szCs w:val="18"/>
          <w:lang w:val="en-US"/>
        </w:rPr>
        <w:t>Fig</w:t>
      </w:r>
      <w:r w:rsidR="000E611B">
        <w:rPr>
          <w:b/>
          <w:sz w:val="18"/>
          <w:szCs w:val="18"/>
          <w:lang w:val="en-US"/>
        </w:rPr>
        <w:t>ure</w:t>
      </w:r>
      <w:r w:rsidRPr="009D4E82">
        <w:rPr>
          <w:b/>
          <w:sz w:val="18"/>
          <w:szCs w:val="18"/>
          <w:lang w:val="en-US"/>
        </w:rPr>
        <w:t xml:space="preserve"> </w:t>
      </w:r>
      <w:r w:rsidR="009A7234" w:rsidRPr="009D4E82">
        <w:rPr>
          <w:b/>
          <w:sz w:val="18"/>
          <w:szCs w:val="18"/>
          <w:lang w:val="en-US"/>
        </w:rPr>
        <w:t>10.</w:t>
      </w:r>
      <w:r w:rsidRPr="009D4E82">
        <w:rPr>
          <w:b/>
          <w:sz w:val="18"/>
          <w:szCs w:val="18"/>
          <w:lang w:val="en-US"/>
        </w:rPr>
        <w:t xml:space="preserve"> Flowchart of Patient Recruitment:</w:t>
      </w:r>
      <w:r w:rsidRPr="009A7234">
        <w:rPr>
          <w:bCs/>
          <w:sz w:val="18"/>
          <w:szCs w:val="18"/>
          <w:lang w:val="en-US"/>
        </w:rPr>
        <w:t xml:space="preserve"> Observational Case-Control Study on Endometriosis and Periodontal Disease Exclusion reasons were mutually exclusive. </w:t>
      </w:r>
    </w:p>
    <w:p w14:paraId="5B52D706" w14:textId="77777777" w:rsidR="00114426" w:rsidRPr="00114426" w:rsidRDefault="00114426" w:rsidP="004C4FA7">
      <w:pPr>
        <w:rPr>
          <w:b/>
          <w:bCs/>
          <w:sz w:val="28"/>
          <w:szCs w:val="28"/>
          <w:lang w:val="en-US"/>
        </w:rPr>
      </w:pPr>
    </w:p>
    <w:p w14:paraId="3F4980E0" w14:textId="77777777" w:rsidR="00114426" w:rsidRPr="00114426" w:rsidRDefault="00114426" w:rsidP="004C4FA7">
      <w:pPr>
        <w:rPr>
          <w:b/>
          <w:bCs/>
          <w:sz w:val="28"/>
          <w:szCs w:val="28"/>
          <w:lang w:val="en-US"/>
        </w:rPr>
      </w:pPr>
    </w:p>
    <w:p w14:paraId="54D27A17" w14:textId="77777777" w:rsidR="00114426" w:rsidRPr="00114426" w:rsidRDefault="00114426" w:rsidP="007E536D">
      <w:pPr>
        <w:pStyle w:val="Titolo2"/>
        <w:rPr>
          <w:b w:val="0"/>
          <w:bCs/>
          <w:sz w:val="28"/>
          <w:szCs w:val="28"/>
          <w:lang w:val="en-US"/>
        </w:rPr>
      </w:pPr>
    </w:p>
    <w:p w14:paraId="4AF69223" w14:textId="77777777" w:rsidR="00402F8E" w:rsidRPr="00692004" w:rsidRDefault="00402F8E" w:rsidP="00402F8E">
      <w:pPr>
        <w:tabs>
          <w:tab w:val="left" w:pos="1337"/>
        </w:tabs>
        <w:rPr>
          <w:lang w:val="en-US"/>
        </w:rPr>
      </w:pPr>
    </w:p>
    <w:p w14:paraId="4E5FB5DD" w14:textId="77777777" w:rsidR="00402F8E" w:rsidRPr="00692004" w:rsidRDefault="00402F8E" w:rsidP="00402F8E">
      <w:pPr>
        <w:tabs>
          <w:tab w:val="left" w:pos="1337"/>
        </w:tabs>
        <w:rPr>
          <w:lang w:val="en-US"/>
        </w:rPr>
      </w:pPr>
    </w:p>
    <w:p w14:paraId="48D0AD0F" w14:textId="77777777" w:rsidR="00402F8E" w:rsidRPr="00692004" w:rsidRDefault="00402F8E" w:rsidP="00402F8E">
      <w:pPr>
        <w:tabs>
          <w:tab w:val="left" w:pos="1337"/>
        </w:tabs>
        <w:rPr>
          <w:lang w:val="en-US"/>
        </w:rPr>
      </w:pPr>
    </w:p>
    <w:p w14:paraId="088C071F" w14:textId="77777777" w:rsidR="00402F8E" w:rsidRPr="00692004" w:rsidRDefault="00402F8E" w:rsidP="00402F8E">
      <w:pPr>
        <w:tabs>
          <w:tab w:val="left" w:pos="1337"/>
        </w:tabs>
        <w:rPr>
          <w:lang w:val="en-US"/>
        </w:rPr>
      </w:pPr>
    </w:p>
    <w:p w14:paraId="105D1832" w14:textId="4E85CAE9" w:rsidR="009A7234" w:rsidRDefault="00402F8E" w:rsidP="00ED0C6E">
      <w:pPr>
        <w:tabs>
          <w:tab w:val="left" w:pos="1337"/>
        </w:tabs>
        <w:jc w:val="center"/>
        <w:rPr>
          <w:lang w:val="en-US"/>
        </w:rPr>
      </w:pPr>
      <w:r w:rsidRPr="006E7D97">
        <w:rPr>
          <w:noProof/>
        </w:rPr>
        <w:lastRenderedPageBreak/>
        <w:drawing>
          <wp:inline distT="0" distB="0" distL="0" distR="0" wp14:anchorId="750058F1" wp14:editId="0830B9BD">
            <wp:extent cx="4307504" cy="3549958"/>
            <wp:effectExtent l="0" t="0" r="0" b="6350"/>
            <wp:docPr id="714392342" name="Immagine 4" descr="Immagine che contiene testo, intern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92342" name="Immagine 4" descr="Immagine che contiene testo, interno, design&#10;&#10;Descrizione generata automaticamente"/>
                    <pic:cNvPicPr/>
                  </pic:nvPicPr>
                  <pic:blipFill>
                    <a:blip r:embed="rId23">
                      <a:extLst>
                        <a:ext uri="{28A0092B-C50C-407E-A947-70E740481C1C}">
                          <a14:useLocalDpi xmlns:a14="http://schemas.microsoft.com/office/drawing/2010/main" val="0"/>
                        </a:ext>
                      </a:extLst>
                    </a:blip>
                    <a:stretch>
                      <a:fillRect/>
                    </a:stretch>
                  </pic:blipFill>
                  <pic:spPr>
                    <a:xfrm>
                      <a:off x="0" y="0"/>
                      <a:ext cx="4367308" cy="3599244"/>
                    </a:xfrm>
                    <a:prstGeom prst="rect">
                      <a:avLst/>
                    </a:prstGeom>
                  </pic:spPr>
                </pic:pic>
              </a:graphicData>
            </a:graphic>
          </wp:inline>
        </w:drawing>
      </w:r>
    </w:p>
    <w:p w14:paraId="59D9DD60" w14:textId="77777777" w:rsidR="009A7234" w:rsidRPr="009A7234" w:rsidRDefault="009A7234" w:rsidP="00402F8E">
      <w:pPr>
        <w:tabs>
          <w:tab w:val="left" w:pos="1337"/>
        </w:tabs>
        <w:rPr>
          <w:lang w:val="en-US"/>
        </w:rPr>
      </w:pPr>
    </w:p>
    <w:p w14:paraId="7EF9EE99" w14:textId="1E4DA41A" w:rsidR="00402F8E" w:rsidRPr="009A7234" w:rsidRDefault="00ED0C6E" w:rsidP="00402F8E">
      <w:pPr>
        <w:tabs>
          <w:tab w:val="left" w:pos="1337"/>
        </w:tabs>
        <w:rPr>
          <w:b/>
          <w:bCs/>
          <w:sz w:val="18"/>
          <w:szCs w:val="18"/>
          <w:lang w:val="en-US"/>
        </w:rPr>
      </w:pPr>
      <w:r>
        <w:rPr>
          <w:b/>
          <w:bCs/>
          <w:sz w:val="18"/>
          <w:szCs w:val="18"/>
          <w:lang w:val="en-US"/>
        </w:rPr>
        <w:t xml:space="preserve">                  </w:t>
      </w:r>
      <w:r w:rsidR="00402F8E" w:rsidRPr="009A7234">
        <w:rPr>
          <w:b/>
          <w:bCs/>
          <w:sz w:val="18"/>
          <w:szCs w:val="18"/>
          <w:lang w:val="en-US"/>
        </w:rPr>
        <w:t>Fig</w:t>
      </w:r>
      <w:r w:rsidR="009A7234" w:rsidRPr="009A7234">
        <w:rPr>
          <w:b/>
          <w:bCs/>
          <w:sz w:val="18"/>
          <w:szCs w:val="18"/>
          <w:lang w:val="en-US"/>
        </w:rPr>
        <w:t>ure</w:t>
      </w:r>
      <w:r w:rsidR="00402F8E" w:rsidRPr="009A7234">
        <w:rPr>
          <w:b/>
          <w:bCs/>
          <w:sz w:val="18"/>
          <w:szCs w:val="18"/>
          <w:lang w:val="en-US"/>
        </w:rPr>
        <w:t xml:space="preserve"> </w:t>
      </w:r>
      <w:r w:rsidR="009A7234" w:rsidRPr="009A7234">
        <w:rPr>
          <w:b/>
          <w:bCs/>
          <w:sz w:val="18"/>
          <w:szCs w:val="18"/>
          <w:lang w:val="en-US"/>
        </w:rPr>
        <w:t>11</w:t>
      </w:r>
      <w:r w:rsidR="00EE4819">
        <w:rPr>
          <w:b/>
          <w:bCs/>
          <w:sz w:val="18"/>
          <w:szCs w:val="18"/>
          <w:lang w:val="en-US"/>
        </w:rPr>
        <w:t>.</w:t>
      </w:r>
      <w:r w:rsidR="009A7234" w:rsidRPr="009A7234">
        <w:rPr>
          <w:b/>
          <w:bCs/>
          <w:sz w:val="18"/>
          <w:szCs w:val="18"/>
          <w:lang w:val="en-US"/>
        </w:rPr>
        <w:t xml:space="preserve"> </w:t>
      </w:r>
      <w:r w:rsidR="009A7234" w:rsidRPr="009A7234">
        <w:rPr>
          <w:color w:val="000000" w:themeColor="text1"/>
          <w:sz w:val="18"/>
          <w:szCs w:val="18"/>
          <w:lang w:val="en-US"/>
        </w:rPr>
        <w:t>Appropriate collection tubes provided by the Biomolecular Diagnostic kit.</w:t>
      </w:r>
    </w:p>
    <w:p w14:paraId="55436894" w14:textId="77777777" w:rsidR="00402F8E" w:rsidRPr="009A7234" w:rsidRDefault="00402F8E" w:rsidP="00402F8E">
      <w:pPr>
        <w:tabs>
          <w:tab w:val="left" w:pos="1337"/>
        </w:tabs>
        <w:rPr>
          <w:lang w:val="en-US"/>
        </w:rPr>
      </w:pPr>
    </w:p>
    <w:p w14:paraId="160FDF7E" w14:textId="77777777" w:rsidR="00402F8E" w:rsidRPr="009A7234" w:rsidRDefault="00402F8E" w:rsidP="00402F8E">
      <w:pPr>
        <w:tabs>
          <w:tab w:val="left" w:pos="1337"/>
        </w:tabs>
        <w:rPr>
          <w:lang w:val="en-US"/>
        </w:rPr>
      </w:pPr>
    </w:p>
    <w:p w14:paraId="79FDA38F" w14:textId="77777777" w:rsidR="00402F8E" w:rsidRPr="009A7234" w:rsidRDefault="00402F8E" w:rsidP="00402F8E">
      <w:pPr>
        <w:tabs>
          <w:tab w:val="left" w:pos="1337"/>
        </w:tabs>
        <w:rPr>
          <w:lang w:val="en-US"/>
        </w:rPr>
      </w:pPr>
    </w:p>
    <w:p w14:paraId="1278AD66" w14:textId="77777777" w:rsidR="00402F8E" w:rsidRPr="009A7234" w:rsidRDefault="00402F8E" w:rsidP="00402F8E">
      <w:pPr>
        <w:tabs>
          <w:tab w:val="left" w:pos="1337"/>
        </w:tabs>
        <w:rPr>
          <w:lang w:val="en-US"/>
        </w:rPr>
      </w:pPr>
    </w:p>
    <w:p w14:paraId="48A66D43" w14:textId="2B04168F" w:rsidR="003020BD" w:rsidRDefault="00402F8E" w:rsidP="00714AC2">
      <w:pPr>
        <w:tabs>
          <w:tab w:val="left" w:pos="1337"/>
        </w:tabs>
        <w:rPr>
          <w:lang w:val="en-US"/>
        </w:rPr>
      </w:pPr>
      <w:r w:rsidRPr="006E7D97">
        <w:rPr>
          <w:noProof/>
        </w:rPr>
        <w:lastRenderedPageBreak/>
        <w:drawing>
          <wp:inline distT="0" distB="0" distL="0" distR="0" wp14:anchorId="0A3679C3" wp14:editId="66E9F505">
            <wp:extent cx="2782956" cy="5294286"/>
            <wp:effectExtent l="0" t="0" r="0" b="1905"/>
            <wp:docPr id="1609419681" name="Immagine 5" descr="Immagine che contiene testo, schermata, ricevuta, num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19681" name="Immagine 5" descr="Immagine che contiene testo, schermata, ricevuta, numero&#10;&#10;Descrizione generata automa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0816" cy="5328264"/>
                    </a:xfrm>
                    <a:prstGeom prst="rect">
                      <a:avLst/>
                    </a:prstGeom>
                  </pic:spPr>
                </pic:pic>
              </a:graphicData>
            </a:graphic>
          </wp:inline>
        </w:drawing>
      </w:r>
    </w:p>
    <w:p w14:paraId="3AA0CCB1" w14:textId="2D3B1F00" w:rsidR="00402F8E" w:rsidRPr="003020BD" w:rsidRDefault="003020BD" w:rsidP="00714AC2">
      <w:pPr>
        <w:tabs>
          <w:tab w:val="left" w:pos="1337"/>
        </w:tabs>
        <w:rPr>
          <w:b/>
          <w:bCs/>
          <w:sz w:val="18"/>
          <w:szCs w:val="18"/>
          <w:lang w:val="en-US"/>
        </w:rPr>
      </w:pPr>
      <w:r>
        <w:rPr>
          <w:b/>
          <w:bCs/>
          <w:sz w:val="18"/>
          <w:szCs w:val="18"/>
          <w:lang w:val="en-US"/>
        </w:rPr>
        <w:t xml:space="preserve">Table 2. </w:t>
      </w:r>
      <w:r w:rsidRPr="003020BD">
        <w:rPr>
          <w:b/>
          <w:bCs/>
          <w:sz w:val="18"/>
          <w:szCs w:val="18"/>
          <w:lang w:val="en-US"/>
        </w:rPr>
        <w:t>Periodontal pathogens analyzed using the biomolecular diagnostic kit (BPA Basic).</w:t>
      </w:r>
    </w:p>
    <w:p w14:paraId="45D96357" w14:textId="77777777" w:rsidR="00402F8E" w:rsidRPr="009A7234" w:rsidRDefault="00402F8E" w:rsidP="00402F8E">
      <w:pPr>
        <w:tabs>
          <w:tab w:val="left" w:pos="1337"/>
        </w:tabs>
        <w:rPr>
          <w:lang w:val="en-US"/>
        </w:rPr>
      </w:pPr>
    </w:p>
    <w:p w14:paraId="3FC4CD8F" w14:textId="77777777" w:rsidR="00402F8E" w:rsidRPr="009A7234" w:rsidRDefault="00402F8E" w:rsidP="00402F8E">
      <w:pPr>
        <w:tabs>
          <w:tab w:val="left" w:pos="1337"/>
        </w:tabs>
        <w:rPr>
          <w:lang w:val="en-US"/>
        </w:rPr>
      </w:pPr>
    </w:p>
    <w:p w14:paraId="7E1E3303" w14:textId="77777777" w:rsidR="00402F8E" w:rsidRPr="009A7234" w:rsidRDefault="00402F8E" w:rsidP="00402F8E">
      <w:pPr>
        <w:tabs>
          <w:tab w:val="left" w:pos="1337"/>
        </w:tabs>
        <w:rPr>
          <w:lang w:val="en-US"/>
        </w:rPr>
      </w:pPr>
    </w:p>
    <w:p w14:paraId="6797EF5A" w14:textId="77777777" w:rsidR="00402F8E" w:rsidRPr="009A7234" w:rsidRDefault="00402F8E" w:rsidP="00402F8E">
      <w:pPr>
        <w:tabs>
          <w:tab w:val="left" w:pos="1337"/>
        </w:tabs>
        <w:rPr>
          <w:lang w:val="en-US"/>
        </w:rPr>
      </w:pPr>
    </w:p>
    <w:p w14:paraId="4AC633E0" w14:textId="77777777" w:rsidR="00402F8E" w:rsidRPr="006E7D97" w:rsidRDefault="00402F8E" w:rsidP="00402F8E">
      <w:pPr>
        <w:tabs>
          <w:tab w:val="left" w:pos="1337"/>
        </w:tabs>
      </w:pPr>
      <w:r w:rsidRPr="006E7D97">
        <w:rPr>
          <w:noProof/>
        </w:rPr>
        <w:drawing>
          <wp:inline distT="0" distB="0" distL="0" distR="0" wp14:anchorId="3869B016" wp14:editId="3E8BA063">
            <wp:extent cx="5508011" cy="1219835"/>
            <wp:effectExtent l="0" t="0" r="3810" b="0"/>
            <wp:docPr id="550985124" name="Immagine 2" descr="Immagine che contiene diagramm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85124" name="Immagine 2" descr="Immagine che contiene diagramma, schermata&#10;&#10;Descrizione generata automaticamente"/>
                    <pic:cNvPicPr/>
                  </pic:nvPicPr>
                  <pic:blipFill rotWithShape="1">
                    <a:blip r:embed="rId25" cstate="print">
                      <a:extLst>
                        <a:ext uri="{28A0092B-C50C-407E-A947-70E740481C1C}">
                          <a14:useLocalDpi xmlns:a14="http://schemas.microsoft.com/office/drawing/2010/main" val="0"/>
                        </a:ext>
                      </a:extLst>
                    </a:blip>
                    <a:srcRect l="10002"/>
                    <a:stretch/>
                  </pic:blipFill>
                  <pic:spPr bwMode="auto">
                    <a:xfrm>
                      <a:off x="0" y="0"/>
                      <a:ext cx="5508011" cy="1219835"/>
                    </a:xfrm>
                    <a:prstGeom prst="rect">
                      <a:avLst/>
                    </a:prstGeom>
                    <a:ln>
                      <a:noFill/>
                    </a:ln>
                    <a:extLst>
                      <a:ext uri="{53640926-AAD7-44D8-BBD7-CCE9431645EC}">
                        <a14:shadowObscured xmlns:a14="http://schemas.microsoft.com/office/drawing/2010/main"/>
                      </a:ext>
                    </a:extLst>
                  </pic:spPr>
                </pic:pic>
              </a:graphicData>
            </a:graphic>
          </wp:inline>
        </w:drawing>
      </w:r>
    </w:p>
    <w:p w14:paraId="30C0EC98" w14:textId="77777777" w:rsidR="00402F8E" w:rsidRPr="006E7D97" w:rsidRDefault="00402F8E" w:rsidP="00402F8E">
      <w:pPr>
        <w:tabs>
          <w:tab w:val="left" w:pos="1337"/>
        </w:tabs>
      </w:pPr>
    </w:p>
    <w:p w14:paraId="74416359" w14:textId="77777777" w:rsidR="00402F8E" w:rsidRPr="003020BD" w:rsidRDefault="00402F8E" w:rsidP="00402F8E">
      <w:pPr>
        <w:tabs>
          <w:tab w:val="left" w:pos="1337"/>
        </w:tabs>
        <w:rPr>
          <w:sz w:val="18"/>
          <w:szCs w:val="18"/>
        </w:rPr>
      </w:pPr>
    </w:p>
    <w:p w14:paraId="288F15ED" w14:textId="74887FD4" w:rsidR="00402F8E" w:rsidRPr="003020BD" w:rsidRDefault="00A73C1E" w:rsidP="00714AC2">
      <w:pPr>
        <w:tabs>
          <w:tab w:val="left" w:pos="1337"/>
        </w:tabs>
        <w:jc w:val="both"/>
        <w:rPr>
          <w:sz w:val="18"/>
          <w:szCs w:val="18"/>
          <w:lang w:val="en-US"/>
        </w:rPr>
      </w:pPr>
      <w:r w:rsidRPr="003020BD">
        <w:rPr>
          <w:b/>
          <w:bCs/>
          <w:sz w:val="18"/>
          <w:szCs w:val="18"/>
          <w:lang w:val="en-US"/>
        </w:rPr>
        <w:t>Fig</w:t>
      </w:r>
      <w:r w:rsidR="003020BD" w:rsidRPr="003020BD">
        <w:rPr>
          <w:b/>
          <w:bCs/>
          <w:sz w:val="18"/>
          <w:szCs w:val="18"/>
          <w:lang w:val="en-US"/>
        </w:rPr>
        <w:t>ure 12</w:t>
      </w:r>
      <w:r w:rsidR="000E611B">
        <w:rPr>
          <w:sz w:val="18"/>
          <w:szCs w:val="18"/>
          <w:lang w:val="en-US"/>
        </w:rPr>
        <w:t>.</w:t>
      </w:r>
      <w:r w:rsidRPr="003020BD">
        <w:rPr>
          <w:sz w:val="18"/>
          <w:szCs w:val="18"/>
          <w:lang w:val="en-US"/>
        </w:rPr>
        <w:t xml:space="preserve"> </w:t>
      </w:r>
      <w:r w:rsidRPr="009D4E82">
        <w:rPr>
          <w:b/>
          <w:bCs/>
          <w:sz w:val="18"/>
          <w:szCs w:val="18"/>
          <w:lang w:val="en-US"/>
        </w:rPr>
        <w:t>Overview of sample collection and study cohorts.</w:t>
      </w:r>
      <w:r w:rsidRPr="003020BD">
        <w:rPr>
          <w:sz w:val="18"/>
          <w:szCs w:val="18"/>
          <w:lang w:val="en-US"/>
        </w:rPr>
        <w:t xml:space="preserve"> All participants were provided with kits for saliva sample collection.</w:t>
      </w:r>
      <w:r w:rsidR="003020BD">
        <w:rPr>
          <w:sz w:val="18"/>
          <w:szCs w:val="18"/>
          <w:lang w:val="en-US"/>
        </w:rPr>
        <w:t xml:space="preserve"> </w:t>
      </w:r>
      <w:r w:rsidR="003020BD" w:rsidRPr="003020BD">
        <w:rPr>
          <w:sz w:val="18"/>
          <w:szCs w:val="18"/>
          <w:lang w:val="en-US"/>
        </w:rPr>
        <w:t>The diagram illustrates the collection of oral microbiota using an oral swab obtained from the oral cavity prior to laboratory analysis.</w:t>
      </w:r>
    </w:p>
    <w:p w14:paraId="5953F679" w14:textId="05236FAE" w:rsidR="004A6DDD" w:rsidRPr="00D73971" w:rsidRDefault="004A6DDD" w:rsidP="002C5FF4">
      <w:pPr>
        <w:spacing w:line="360" w:lineRule="auto"/>
        <w:jc w:val="both"/>
        <w:rPr>
          <w:lang w:val="en-US"/>
        </w:rPr>
      </w:pPr>
    </w:p>
    <w:p w14:paraId="5945518E" w14:textId="0DAAC8CF" w:rsidR="00B6019B" w:rsidRPr="00842B17" w:rsidRDefault="00290211" w:rsidP="00303B59">
      <w:pPr>
        <w:pStyle w:val="Titolo1"/>
        <w:spacing w:line="360" w:lineRule="auto"/>
        <w:jc w:val="center"/>
        <w:rPr>
          <w:sz w:val="36"/>
          <w:szCs w:val="36"/>
          <w:lang w:val="en-US"/>
        </w:rPr>
      </w:pPr>
      <w:bookmarkStart w:id="33" w:name="_Toc219243297"/>
      <w:r w:rsidRPr="00842B17">
        <w:rPr>
          <w:sz w:val="36"/>
          <w:szCs w:val="36"/>
          <w:lang w:val="en-US"/>
        </w:rPr>
        <w:lastRenderedPageBreak/>
        <w:t>4</w:t>
      </w:r>
      <w:r w:rsidR="00A952D3" w:rsidRPr="00842B17">
        <w:rPr>
          <w:sz w:val="36"/>
          <w:szCs w:val="36"/>
          <w:lang w:val="en-US"/>
        </w:rPr>
        <w:t xml:space="preserve">. </w:t>
      </w:r>
      <w:r w:rsidR="003B62D3" w:rsidRPr="00842B17">
        <w:rPr>
          <w:sz w:val="36"/>
          <w:szCs w:val="36"/>
          <w:lang w:val="en-US"/>
        </w:rPr>
        <w:t>R</w:t>
      </w:r>
      <w:r w:rsidRPr="00842B17">
        <w:rPr>
          <w:sz w:val="36"/>
          <w:szCs w:val="36"/>
          <w:lang w:val="en-US"/>
        </w:rPr>
        <w:t>E</w:t>
      </w:r>
      <w:r w:rsidR="003B62D3" w:rsidRPr="00842B17">
        <w:rPr>
          <w:sz w:val="36"/>
          <w:szCs w:val="36"/>
          <w:lang w:val="en-US"/>
        </w:rPr>
        <w:t>SULT</w:t>
      </w:r>
      <w:r w:rsidRPr="00842B17">
        <w:rPr>
          <w:sz w:val="36"/>
          <w:szCs w:val="36"/>
          <w:lang w:val="en-US"/>
        </w:rPr>
        <w:t>S</w:t>
      </w:r>
      <w:bookmarkEnd w:id="33"/>
    </w:p>
    <w:p w14:paraId="6C770150" w14:textId="263DEF41" w:rsidR="00333EB6" w:rsidRPr="00333EB6" w:rsidRDefault="00290211" w:rsidP="002C0748">
      <w:pPr>
        <w:pStyle w:val="Titolo2"/>
        <w:spacing w:line="360" w:lineRule="auto"/>
        <w:jc w:val="both"/>
        <w:rPr>
          <w:sz w:val="28"/>
          <w:szCs w:val="28"/>
          <w:lang w:val="en-US"/>
        </w:rPr>
      </w:pPr>
      <w:bookmarkStart w:id="34" w:name="_Toc219243298"/>
      <w:r w:rsidRPr="009750AD">
        <w:rPr>
          <w:sz w:val="28"/>
          <w:szCs w:val="28"/>
          <w:lang w:val="en-US"/>
        </w:rPr>
        <w:t>4</w:t>
      </w:r>
      <w:r w:rsidR="00B6019B" w:rsidRPr="009750AD">
        <w:rPr>
          <w:sz w:val="28"/>
          <w:szCs w:val="28"/>
          <w:lang w:val="en-US"/>
        </w:rPr>
        <w:t xml:space="preserve">.1 </w:t>
      </w:r>
      <w:r w:rsidR="00914193" w:rsidRPr="009750AD">
        <w:rPr>
          <w:sz w:val="28"/>
          <w:szCs w:val="28"/>
          <w:lang w:val="en-US"/>
        </w:rPr>
        <w:t xml:space="preserve">Quantitative real-time PCR results of periodontal pathogens </w:t>
      </w:r>
      <w:r w:rsidR="00914193" w:rsidRPr="009750AD">
        <w:rPr>
          <w:bCs/>
          <w:sz w:val="28"/>
          <w:szCs w:val="28"/>
          <w:lang w:val="en-US"/>
        </w:rPr>
        <w:t>in healthy controls and endometriosis patients</w:t>
      </w:r>
      <w:bookmarkEnd w:id="34"/>
    </w:p>
    <w:p w14:paraId="2E3AB675" w14:textId="1F89CFB7" w:rsidR="00333EB6" w:rsidRPr="00333EB6" w:rsidRDefault="00333EB6" w:rsidP="00333EB6">
      <w:pPr>
        <w:spacing w:line="360" w:lineRule="auto"/>
        <w:jc w:val="both"/>
        <w:rPr>
          <w:lang w:val="en-GB"/>
        </w:rPr>
      </w:pPr>
      <w:r w:rsidRPr="00333EB6">
        <w:rPr>
          <w:lang w:val="en-GB"/>
        </w:rPr>
        <w:t>Five endometriosis patients and clinically periodontally health were selected for the study and five health women in reproductive age (between</w:t>
      </w:r>
      <w:r w:rsidR="00B96CE6" w:rsidRPr="00B96CE6">
        <w:rPr>
          <w:b/>
          <w:bCs/>
          <w:lang w:val="en-US"/>
        </w:rPr>
        <w:t xml:space="preserve"> </w:t>
      </w:r>
      <w:r w:rsidR="00B96CE6" w:rsidRPr="00B96CE6">
        <w:rPr>
          <w:lang w:val="en-US"/>
        </w:rPr>
        <w:t>18 and 45 years of age</w:t>
      </w:r>
      <w:r w:rsidRPr="00B96CE6">
        <w:rPr>
          <w:lang w:val="en-GB"/>
        </w:rPr>
        <w:t>)</w:t>
      </w:r>
      <w:r w:rsidR="00B96CE6" w:rsidRPr="00B96CE6">
        <w:rPr>
          <w:lang w:val="en-GB"/>
        </w:rPr>
        <w:t>.</w:t>
      </w:r>
      <w:r w:rsidRPr="00333EB6">
        <w:rPr>
          <w:lang w:val="en-GB"/>
        </w:rPr>
        <w:t xml:space="preserve"> </w:t>
      </w:r>
    </w:p>
    <w:p w14:paraId="1D766BD1" w14:textId="77777777" w:rsidR="00333EB6" w:rsidRPr="00333EB6" w:rsidRDefault="00333EB6" w:rsidP="00333EB6">
      <w:pPr>
        <w:spacing w:line="360" w:lineRule="auto"/>
        <w:jc w:val="both"/>
        <w:rPr>
          <w:lang w:val="en-GB"/>
        </w:rPr>
      </w:pPr>
      <w:r w:rsidRPr="00333EB6">
        <w:rPr>
          <w:lang w:val="en-GB"/>
        </w:rPr>
        <w:t xml:space="preserve">The RealTime PCR revealed a microbial percentage higher in the endometriosis group than in the control group </w:t>
      </w:r>
      <w:r w:rsidRPr="002C0748">
        <w:rPr>
          <w:i/>
          <w:iCs/>
          <w:lang w:val="en-GB"/>
        </w:rPr>
        <w:t xml:space="preserve">(Tables 3 and 4). </w:t>
      </w:r>
    </w:p>
    <w:p w14:paraId="6312E513" w14:textId="0D8610E3" w:rsidR="00333EB6" w:rsidRPr="00333EB6" w:rsidRDefault="00333EB6" w:rsidP="00333EB6">
      <w:pPr>
        <w:spacing w:line="360" w:lineRule="auto"/>
        <w:jc w:val="both"/>
        <w:rPr>
          <w:lang w:val="en-GB"/>
        </w:rPr>
      </w:pPr>
      <w:r w:rsidRPr="00333EB6">
        <w:rPr>
          <w:lang w:val="en-GB"/>
        </w:rPr>
        <w:t xml:space="preserve">As regard the presence of the investigated bacteria, two species </w:t>
      </w:r>
      <w:r w:rsidR="00AC111D" w:rsidRPr="00333EB6">
        <w:rPr>
          <w:lang w:val="en-GB"/>
        </w:rPr>
        <w:t>appear</w:t>
      </w:r>
      <w:r w:rsidRPr="00333EB6">
        <w:rPr>
          <w:lang w:val="en-GB"/>
        </w:rPr>
        <w:t xml:space="preserve"> to prevail in the endometriosis group: </w:t>
      </w:r>
      <w:proofErr w:type="spellStart"/>
      <w:r w:rsidRPr="00333EB6">
        <w:rPr>
          <w:i/>
          <w:iCs/>
          <w:lang w:val="en-GB"/>
        </w:rPr>
        <w:t>P.Intermedia</w:t>
      </w:r>
      <w:proofErr w:type="spellEnd"/>
      <w:r w:rsidRPr="00333EB6">
        <w:rPr>
          <w:lang w:val="en-GB"/>
        </w:rPr>
        <w:t xml:space="preserve"> and </w:t>
      </w:r>
      <w:r w:rsidRPr="00333EB6">
        <w:rPr>
          <w:i/>
          <w:iCs/>
          <w:lang w:val="en-GB"/>
        </w:rPr>
        <w:t xml:space="preserve">F. </w:t>
      </w:r>
      <w:proofErr w:type="spellStart"/>
      <w:r w:rsidRPr="00333EB6">
        <w:rPr>
          <w:i/>
          <w:iCs/>
          <w:lang w:val="en-GB"/>
        </w:rPr>
        <w:t>Nucleatum</w:t>
      </w:r>
      <w:proofErr w:type="spellEnd"/>
      <w:r w:rsidRPr="00333EB6">
        <w:rPr>
          <w:lang w:val="en-GB"/>
        </w:rPr>
        <w:t xml:space="preserve"> </w:t>
      </w:r>
      <w:r w:rsidRPr="002C0748">
        <w:rPr>
          <w:i/>
          <w:iCs/>
          <w:lang w:val="en-GB"/>
        </w:rPr>
        <w:t xml:space="preserve">(Table 3). </w:t>
      </w:r>
    </w:p>
    <w:tbl>
      <w:tblPr>
        <w:tblStyle w:val="Grigliatabella"/>
        <w:tblpPr w:leftFromText="141" w:rightFromText="141" w:vertAnchor="text" w:horzAnchor="margin" w:tblpXSpec="center" w:tblpY="718"/>
        <w:tblW w:w="9700" w:type="dxa"/>
        <w:tblLook w:val="04A0" w:firstRow="1" w:lastRow="0" w:firstColumn="1" w:lastColumn="0" w:noHBand="0" w:noVBand="1"/>
      </w:tblPr>
      <w:tblGrid>
        <w:gridCol w:w="1603"/>
        <w:gridCol w:w="2522"/>
        <w:gridCol w:w="1763"/>
        <w:gridCol w:w="1270"/>
        <w:gridCol w:w="1670"/>
        <w:gridCol w:w="1203"/>
      </w:tblGrid>
      <w:tr w:rsidR="00021CEF" w:rsidRPr="00333EB6" w14:paraId="2505C72A" w14:textId="77777777" w:rsidTr="00021CEF">
        <w:trPr>
          <w:trHeight w:val="309"/>
        </w:trPr>
        <w:tc>
          <w:tcPr>
            <w:tcW w:w="1550" w:type="dxa"/>
          </w:tcPr>
          <w:p w14:paraId="66EAF3EC" w14:textId="77777777" w:rsidR="00333EB6" w:rsidRPr="00333EB6" w:rsidRDefault="00333EB6" w:rsidP="00333EB6">
            <w:pPr>
              <w:spacing w:line="360" w:lineRule="auto"/>
              <w:jc w:val="both"/>
            </w:pPr>
            <w:proofErr w:type="spellStart"/>
            <w:r w:rsidRPr="00333EB6">
              <w:t>Endometriosis</w:t>
            </w:r>
            <w:proofErr w:type="spellEnd"/>
            <w:r w:rsidRPr="00333EB6">
              <w:t xml:space="preserve"> </w:t>
            </w:r>
            <w:proofErr w:type="spellStart"/>
            <w:r w:rsidRPr="00333EB6">
              <w:t>Patients</w:t>
            </w:r>
            <w:proofErr w:type="spellEnd"/>
            <w:r w:rsidRPr="00333EB6">
              <w:t xml:space="preserve"> </w:t>
            </w:r>
          </w:p>
        </w:tc>
        <w:tc>
          <w:tcPr>
            <w:tcW w:w="2439" w:type="dxa"/>
          </w:tcPr>
          <w:p w14:paraId="5E9CA5C2" w14:textId="77777777" w:rsidR="00333EB6" w:rsidRPr="00333EB6" w:rsidRDefault="00333EB6" w:rsidP="00333EB6">
            <w:pPr>
              <w:spacing w:line="360" w:lineRule="auto"/>
              <w:jc w:val="both"/>
              <w:rPr>
                <w:i/>
                <w:iCs/>
              </w:rPr>
            </w:pPr>
            <w:proofErr w:type="spellStart"/>
            <w:r w:rsidRPr="00333EB6">
              <w:rPr>
                <w:i/>
                <w:iCs/>
              </w:rPr>
              <w:t>Aggregatibacter</w:t>
            </w:r>
            <w:proofErr w:type="spellEnd"/>
            <w:r w:rsidRPr="00333EB6">
              <w:rPr>
                <w:i/>
                <w:iCs/>
              </w:rPr>
              <w:t xml:space="preserve"> </w:t>
            </w:r>
            <w:proofErr w:type="spellStart"/>
            <w:r w:rsidRPr="00333EB6">
              <w:rPr>
                <w:i/>
                <w:iCs/>
              </w:rPr>
              <w:t>actynomicetemcomitans</w:t>
            </w:r>
            <w:proofErr w:type="spellEnd"/>
            <w:r w:rsidRPr="00333EB6">
              <w:rPr>
                <w:i/>
                <w:iCs/>
              </w:rPr>
              <w:t xml:space="preserve"> </w:t>
            </w:r>
          </w:p>
        </w:tc>
        <w:tc>
          <w:tcPr>
            <w:tcW w:w="1705" w:type="dxa"/>
          </w:tcPr>
          <w:p w14:paraId="3A8FFB70" w14:textId="77777777" w:rsidR="00333EB6" w:rsidRPr="00333EB6" w:rsidRDefault="00333EB6" w:rsidP="00333EB6">
            <w:pPr>
              <w:spacing w:line="360" w:lineRule="auto"/>
              <w:jc w:val="both"/>
              <w:rPr>
                <w:i/>
                <w:iCs/>
              </w:rPr>
            </w:pPr>
            <w:r w:rsidRPr="00333EB6">
              <w:rPr>
                <w:i/>
                <w:iCs/>
              </w:rPr>
              <w:t>Porphyromonas gingivalis</w:t>
            </w:r>
          </w:p>
        </w:tc>
        <w:tc>
          <w:tcPr>
            <w:tcW w:w="1228" w:type="dxa"/>
          </w:tcPr>
          <w:p w14:paraId="40ADCA1C" w14:textId="77777777" w:rsidR="00333EB6" w:rsidRPr="00333EB6" w:rsidRDefault="00333EB6" w:rsidP="00333EB6">
            <w:pPr>
              <w:spacing w:line="360" w:lineRule="auto"/>
              <w:jc w:val="both"/>
              <w:rPr>
                <w:i/>
                <w:iCs/>
              </w:rPr>
            </w:pPr>
            <w:r w:rsidRPr="00333EB6">
              <w:rPr>
                <w:i/>
                <w:iCs/>
              </w:rPr>
              <w:t xml:space="preserve">Prevotella Intermedia </w:t>
            </w:r>
          </w:p>
        </w:tc>
        <w:tc>
          <w:tcPr>
            <w:tcW w:w="1615" w:type="dxa"/>
          </w:tcPr>
          <w:p w14:paraId="662F6684" w14:textId="77777777" w:rsidR="00333EB6" w:rsidRPr="00333EB6" w:rsidRDefault="00333EB6" w:rsidP="00333EB6">
            <w:pPr>
              <w:spacing w:line="360" w:lineRule="auto"/>
              <w:jc w:val="both"/>
              <w:rPr>
                <w:i/>
                <w:iCs/>
              </w:rPr>
            </w:pPr>
            <w:r w:rsidRPr="00333EB6">
              <w:rPr>
                <w:i/>
                <w:iCs/>
              </w:rPr>
              <w:t xml:space="preserve">Fusobacterium nucleatum </w:t>
            </w:r>
          </w:p>
        </w:tc>
        <w:tc>
          <w:tcPr>
            <w:tcW w:w="1163" w:type="dxa"/>
          </w:tcPr>
          <w:p w14:paraId="437CC7B2" w14:textId="77777777" w:rsidR="00333EB6" w:rsidRPr="00333EB6" w:rsidRDefault="00333EB6" w:rsidP="00333EB6">
            <w:pPr>
              <w:spacing w:line="360" w:lineRule="auto"/>
              <w:jc w:val="both"/>
              <w:rPr>
                <w:i/>
                <w:iCs/>
              </w:rPr>
            </w:pPr>
            <w:r w:rsidRPr="00333EB6">
              <w:rPr>
                <w:i/>
                <w:iCs/>
              </w:rPr>
              <w:t xml:space="preserve">% </w:t>
            </w:r>
            <w:proofErr w:type="spellStart"/>
            <w:r w:rsidRPr="00333EB6">
              <w:rPr>
                <w:i/>
                <w:iCs/>
              </w:rPr>
              <w:t>pathogens</w:t>
            </w:r>
            <w:proofErr w:type="spellEnd"/>
          </w:p>
        </w:tc>
      </w:tr>
      <w:tr w:rsidR="00021CEF" w:rsidRPr="00333EB6" w14:paraId="221DF49A" w14:textId="77777777" w:rsidTr="00021CEF">
        <w:trPr>
          <w:trHeight w:val="128"/>
        </w:trPr>
        <w:tc>
          <w:tcPr>
            <w:tcW w:w="1550" w:type="dxa"/>
          </w:tcPr>
          <w:p w14:paraId="69B66561" w14:textId="77777777" w:rsidR="00333EB6" w:rsidRPr="00333EB6" w:rsidRDefault="00333EB6" w:rsidP="00333EB6">
            <w:pPr>
              <w:spacing w:line="360" w:lineRule="auto"/>
              <w:jc w:val="both"/>
            </w:pPr>
            <w:r w:rsidRPr="00333EB6">
              <w:t>1</w:t>
            </w:r>
          </w:p>
        </w:tc>
        <w:tc>
          <w:tcPr>
            <w:tcW w:w="2439" w:type="dxa"/>
            <w:vAlign w:val="bottom"/>
          </w:tcPr>
          <w:p w14:paraId="155C3340" w14:textId="77777777" w:rsidR="00333EB6" w:rsidRPr="00333EB6" w:rsidRDefault="00333EB6" w:rsidP="00333EB6">
            <w:pPr>
              <w:spacing w:line="360" w:lineRule="auto"/>
              <w:jc w:val="both"/>
            </w:pPr>
            <w:r w:rsidRPr="00333EB6">
              <w:t>0</w:t>
            </w:r>
          </w:p>
        </w:tc>
        <w:tc>
          <w:tcPr>
            <w:tcW w:w="1705" w:type="dxa"/>
          </w:tcPr>
          <w:p w14:paraId="0D26DF24" w14:textId="77777777" w:rsidR="00333EB6" w:rsidRPr="00333EB6" w:rsidRDefault="00333EB6" w:rsidP="00333EB6">
            <w:pPr>
              <w:spacing w:line="360" w:lineRule="auto"/>
              <w:jc w:val="both"/>
            </w:pPr>
            <w:r w:rsidRPr="00333EB6">
              <w:t>0</w:t>
            </w:r>
          </w:p>
        </w:tc>
        <w:tc>
          <w:tcPr>
            <w:tcW w:w="1228" w:type="dxa"/>
          </w:tcPr>
          <w:p w14:paraId="274B2718" w14:textId="77777777" w:rsidR="00333EB6" w:rsidRPr="00333EB6" w:rsidRDefault="00333EB6" w:rsidP="00333EB6">
            <w:pPr>
              <w:spacing w:line="360" w:lineRule="auto"/>
              <w:jc w:val="both"/>
              <w:rPr>
                <w:vertAlign w:val="superscript"/>
              </w:rPr>
            </w:pPr>
            <w:r w:rsidRPr="00333EB6">
              <w:t>6.67* 10</w:t>
            </w:r>
            <w:r w:rsidRPr="00333EB6">
              <w:rPr>
                <w:vertAlign w:val="superscript"/>
              </w:rPr>
              <w:t>3</w:t>
            </w:r>
          </w:p>
        </w:tc>
        <w:tc>
          <w:tcPr>
            <w:tcW w:w="1615" w:type="dxa"/>
            <w:vAlign w:val="bottom"/>
          </w:tcPr>
          <w:p w14:paraId="09279458" w14:textId="77777777" w:rsidR="00333EB6" w:rsidRPr="00333EB6" w:rsidRDefault="00333EB6" w:rsidP="00333EB6">
            <w:pPr>
              <w:spacing w:line="360" w:lineRule="auto"/>
              <w:jc w:val="both"/>
              <w:rPr>
                <w:vertAlign w:val="superscript"/>
              </w:rPr>
            </w:pPr>
            <w:r w:rsidRPr="00333EB6">
              <w:t>1.06 * 10</w:t>
            </w:r>
            <w:r w:rsidRPr="00333EB6">
              <w:rPr>
                <w:vertAlign w:val="superscript"/>
              </w:rPr>
              <w:t>3</w:t>
            </w:r>
          </w:p>
        </w:tc>
        <w:tc>
          <w:tcPr>
            <w:tcW w:w="1163" w:type="dxa"/>
            <w:vAlign w:val="bottom"/>
          </w:tcPr>
          <w:p w14:paraId="4E72B887" w14:textId="77777777" w:rsidR="00333EB6" w:rsidRPr="00333EB6" w:rsidRDefault="00333EB6" w:rsidP="00333EB6">
            <w:pPr>
              <w:spacing w:line="360" w:lineRule="auto"/>
              <w:jc w:val="both"/>
            </w:pPr>
            <w:r w:rsidRPr="00333EB6">
              <w:t>12.9</w:t>
            </w:r>
          </w:p>
        </w:tc>
      </w:tr>
      <w:tr w:rsidR="00021CEF" w:rsidRPr="00333EB6" w14:paraId="38CFCCF9" w14:textId="77777777" w:rsidTr="00021CEF">
        <w:trPr>
          <w:trHeight w:val="128"/>
        </w:trPr>
        <w:tc>
          <w:tcPr>
            <w:tcW w:w="1550" w:type="dxa"/>
          </w:tcPr>
          <w:p w14:paraId="723D7E73" w14:textId="77777777" w:rsidR="00333EB6" w:rsidRPr="00333EB6" w:rsidRDefault="00333EB6" w:rsidP="00333EB6">
            <w:pPr>
              <w:spacing w:line="360" w:lineRule="auto"/>
              <w:jc w:val="both"/>
            </w:pPr>
            <w:r w:rsidRPr="00333EB6">
              <w:t>2</w:t>
            </w:r>
          </w:p>
        </w:tc>
        <w:tc>
          <w:tcPr>
            <w:tcW w:w="2439" w:type="dxa"/>
            <w:vAlign w:val="bottom"/>
          </w:tcPr>
          <w:p w14:paraId="3C28FF0F" w14:textId="77777777" w:rsidR="00333EB6" w:rsidRPr="00333EB6" w:rsidRDefault="00333EB6" w:rsidP="00333EB6">
            <w:pPr>
              <w:spacing w:line="360" w:lineRule="auto"/>
              <w:jc w:val="both"/>
            </w:pPr>
            <w:r w:rsidRPr="00333EB6">
              <w:t>0</w:t>
            </w:r>
          </w:p>
        </w:tc>
        <w:tc>
          <w:tcPr>
            <w:tcW w:w="1705" w:type="dxa"/>
          </w:tcPr>
          <w:p w14:paraId="0BCDB0E7" w14:textId="77777777" w:rsidR="00333EB6" w:rsidRPr="00333EB6" w:rsidRDefault="00333EB6" w:rsidP="00333EB6">
            <w:pPr>
              <w:spacing w:line="360" w:lineRule="auto"/>
              <w:jc w:val="both"/>
            </w:pPr>
            <w:r w:rsidRPr="00333EB6">
              <w:t>0</w:t>
            </w:r>
          </w:p>
        </w:tc>
        <w:tc>
          <w:tcPr>
            <w:tcW w:w="1228" w:type="dxa"/>
          </w:tcPr>
          <w:p w14:paraId="6D084836" w14:textId="77777777" w:rsidR="00333EB6" w:rsidRPr="00333EB6" w:rsidRDefault="00333EB6" w:rsidP="00333EB6">
            <w:pPr>
              <w:spacing w:line="360" w:lineRule="auto"/>
              <w:jc w:val="both"/>
            </w:pPr>
            <w:r w:rsidRPr="00333EB6">
              <w:t>3.31* 10</w:t>
            </w:r>
            <w:r w:rsidRPr="00333EB6">
              <w:rPr>
                <w:vertAlign w:val="superscript"/>
              </w:rPr>
              <w:t>2</w:t>
            </w:r>
          </w:p>
        </w:tc>
        <w:tc>
          <w:tcPr>
            <w:tcW w:w="1615" w:type="dxa"/>
            <w:vAlign w:val="bottom"/>
          </w:tcPr>
          <w:p w14:paraId="71C72598" w14:textId="77777777" w:rsidR="00333EB6" w:rsidRPr="00333EB6" w:rsidRDefault="00333EB6" w:rsidP="00333EB6">
            <w:pPr>
              <w:spacing w:line="360" w:lineRule="auto"/>
              <w:jc w:val="both"/>
            </w:pPr>
            <w:r w:rsidRPr="00333EB6">
              <w:t>3.02 * 10</w:t>
            </w:r>
            <w:r w:rsidRPr="00333EB6">
              <w:rPr>
                <w:vertAlign w:val="superscript"/>
              </w:rPr>
              <w:t>2</w:t>
            </w:r>
          </w:p>
        </w:tc>
        <w:tc>
          <w:tcPr>
            <w:tcW w:w="1163" w:type="dxa"/>
            <w:vAlign w:val="bottom"/>
          </w:tcPr>
          <w:p w14:paraId="7FFA1A4C" w14:textId="77777777" w:rsidR="00333EB6" w:rsidRPr="00333EB6" w:rsidRDefault="00333EB6" w:rsidP="00333EB6">
            <w:pPr>
              <w:spacing w:line="360" w:lineRule="auto"/>
              <w:jc w:val="both"/>
            </w:pPr>
            <w:r w:rsidRPr="00333EB6">
              <w:t>7.6</w:t>
            </w:r>
          </w:p>
        </w:tc>
      </w:tr>
      <w:tr w:rsidR="00021CEF" w:rsidRPr="00333EB6" w14:paraId="3FD2F2B2" w14:textId="77777777" w:rsidTr="00021CEF">
        <w:trPr>
          <w:trHeight w:val="128"/>
        </w:trPr>
        <w:tc>
          <w:tcPr>
            <w:tcW w:w="1550" w:type="dxa"/>
          </w:tcPr>
          <w:p w14:paraId="16F72D93" w14:textId="77777777" w:rsidR="00333EB6" w:rsidRPr="00333EB6" w:rsidRDefault="00333EB6" w:rsidP="00333EB6">
            <w:pPr>
              <w:spacing w:line="360" w:lineRule="auto"/>
              <w:jc w:val="both"/>
            </w:pPr>
            <w:r w:rsidRPr="00333EB6">
              <w:t>3</w:t>
            </w:r>
          </w:p>
        </w:tc>
        <w:tc>
          <w:tcPr>
            <w:tcW w:w="2439" w:type="dxa"/>
            <w:vAlign w:val="bottom"/>
          </w:tcPr>
          <w:p w14:paraId="239C0DF6" w14:textId="77777777" w:rsidR="00333EB6" w:rsidRPr="00333EB6" w:rsidRDefault="00333EB6" w:rsidP="00333EB6">
            <w:pPr>
              <w:spacing w:line="360" w:lineRule="auto"/>
              <w:jc w:val="both"/>
            </w:pPr>
            <w:r w:rsidRPr="00333EB6">
              <w:t>3.77  * 10</w:t>
            </w:r>
            <w:r w:rsidRPr="00333EB6">
              <w:rPr>
                <w:vertAlign w:val="superscript"/>
              </w:rPr>
              <w:t>3</w:t>
            </w:r>
          </w:p>
        </w:tc>
        <w:tc>
          <w:tcPr>
            <w:tcW w:w="1705" w:type="dxa"/>
          </w:tcPr>
          <w:p w14:paraId="34D05AA1" w14:textId="77777777" w:rsidR="00333EB6" w:rsidRPr="00333EB6" w:rsidRDefault="00333EB6" w:rsidP="00333EB6">
            <w:pPr>
              <w:spacing w:line="360" w:lineRule="auto"/>
              <w:jc w:val="both"/>
            </w:pPr>
            <w:r w:rsidRPr="00333EB6">
              <w:t>0</w:t>
            </w:r>
          </w:p>
        </w:tc>
        <w:tc>
          <w:tcPr>
            <w:tcW w:w="1228" w:type="dxa"/>
          </w:tcPr>
          <w:p w14:paraId="3831982C" w14:textId="77777777" w:rsidR="00333EB6" w:rsidRPr="00333EB6" w:rsidRDefault="00333EB6" w:rsidP="00333EB6">
            <w:pPr>
              <w:spacing w:line="360" w:lineRule="auto"/>
              <w:jc w:val="both"/>
            </w:pPr>
            <w:r w:rsidRPr="00333EB6">
              <w:t>4.09 * 10</w:t>
            </w:r>
            <w:r w:rsidRPr="00333EB6">
              <w:rPr>
                <w:vertAlign w:val="superscript"/>
              </w:rPr>
              <w:t>3</w:t>
            </w:r>
          </w:p>
        </w:tc>
        <w:tc>
          <w:tcPr>
            <w:tcW w:w="1615" w:type="dxa"/>
            <w:vAlign w:val="bottom"/>
          </w:tcPr>
          <w:p w14:paraId="61A7A6F9" w14:textId="77777777" w:rsidR="00333EB6" w:rsidRPr="00333EB6" w:rsidRDefault="00333EB6" w:rsidP="00333EB6">
            <w:pPr>
              <w:spacing w:line="360" w:lineRule="auto"/>
              <w:jc w:val="both"/>
            </w:pPr>
            <w:r w:rsidRPr="00333EB6">
              <w:t>7.65 * 10</w:t>
            </w:r>
            <w:r w:rsidRPr="00333EB6">
              <w:rPr>
                <w:vertAlign w:val="superscript"/>
              </w:rPr>
              <w:t>2</w:t>
            </w:r>
          </w:p>
        </w:tc>
        <w:tc>
          <w:tcPr>
            <w:tcW w:w="1163" w:type="dxa"/>
            <w:vAlign w:val="bottom"/>
          </w:tcPr>
          <w:p w14:paraId="77BD9A3C" w14:textId="77777777" w:rsidR="00333EB6" w:rsidRPr="00333EB6" w:rsidRDefault="00333EB6" w:rsidP="00333EB6">
            <w:pPr>
              <w:spacing w:line="360" w:lineRule="auto"/>
              <w:jc w:val="both"/>
            </w:pPr>
            <w:r w:rsidRPr="00333EB6">
              <w:t>27.2</w:t>
            </w:r>
          </w:p>
        </w:tc>
      </w:tr>
      <w:tr w:rsidR="00021CEF" w:rsidRPr="00333EB6" w14:paraId="3796EECB" w14:textId="77777777" w:rsidTr="00021CEF">
        <w:trPr>
          <w:trHeight w:val="128"/>
        </w:trPr>
        <w:tc>
          <w:tcPr>
            <w:tcW w:w="1550" w:type="dxa"/>
          </w:tcPr>
          <w:p w14:paraId="1AB57D18" w14:textId="77777777" w:rsidR="00333EB6" w:rsidRPr="00333EB6" w:rsidRDefault="00333EB6" w:rsidP="00333EB6">
            <w:pPr>
              <w:spacing w:line="360" w:lineRule="auto"/>
              <w:jc w:val="both"/>
            </w:pPr>
            <w:r w:rsidRPr="00333EB6">
              <w:t>4</w:t>
            </w:r>
          </w:p>
        </w:tc>
        <w:tc>
          <w:tcPr>
            <w:tcW w:w="2439" w:type="dxa"/>
            <w:vAlign w:val="bottom"/>
          </w:tcPr>
          <w:p w14:paraId="3F8CC0CF" w14:textId="77777777" w:rsidR="00333EB6" w:rsidRPr="00333EB6" w:rsidRDefault="00333EB6" w:rsidP="00333EB6">
            <w:pPr>
              <w:spacing w:line="360" w:lineRule="auto"/>
              <w:jc w:val="both"/>
            </w:pPr>
            <w:r w:rsidRPr="00333EB6">
              <w:t>0</w:t>
            </w:r>
          </w:p>
        </w:tc>
        <w:tc>
          <w:tcPr>
            <w:tcW w:w="1705" w:type="dxa"/>
          </w:tcPr>
          <w:p w14:paraId="15CD9CCB" w14:textId="77777777" w:rsidR="00333EB6" w:rsidRPr="00333EB6" w:rsidRDefault="00333EB6" w:rsidP="00333EB6">
            <w:pPr>
              <w:spacing w:line="360" w:lineRule="auto"/>
              <w:jc w:val="both"/>
            </w:pPr>
            <w:r w:rsidRPr="00333EB6">
              <w:t>0</w:t>
            </w:r>
          </w:p>
        </w:tc>
        <w:tc>
          <w:tcPr>
            <w:tcW w:w="1228" w:type="dxa"/>
          </w:tcPr>
          <w:p w14:paraId="0C04D830" w14:textId="77777777" w:rsidR="00333EB6" w:rsidRPr="00333EB6" w:rsidRDefault="00333EB6" w:rsidP="00333EB6">
            <w:pPr>
              <w:spacing w:line="360" w:lineRule="auto"/>
              <w:jc w:val="both"/>
            </w:pPr>
            <w:r w:rsidRPr="00333EB6">
              <w:t>0</w:t>
            </w:r>
          </w:p>
        </w:tc>
        <w:tc>
          <w:tcPr>
            <w:tcW w:w="1615" w:type="dxa"/>
            <w:vAlign w:val="bottom"/>
          </w:tcPr>
          <w:p w14:paraId="30E66502" w14:textId="77777777" w:rsidR="00333EB6" w:rsidRPr="00333EB6" w:rsidRDefault="00333EB6" w:rsidP="00333EB6">
            <w:pPr>
              <w:spacing w:line="360" w:lineRule="auto"/>
              <w:jc w:val="both"/>
            </w:pPr>
            <w:r w:rsidRPr="00333EB6">
              <w:t>2.74 * 10</w:t>
            </w:r>
            <w:r w:rsidRPr="00333EB6">
              <w:rPr>
                <w:vertAlign w:val="superscript"/>
              </w:rPr>
              <w:t>2</w:t>
            </w:r>
          </w:p>
        </w:tc>
        <w:tc>
          <w:tcPr>
            <w:tcW w:w="1163" w:type="dxa"/>
            <w:vAlign w:val="bottom"/>
          </w:tcPr>
          <w:p w14:paraId="11BDC0B7" w14:textId="77777777" w:rsidR="00333EB6" w:rsidRPr="00333EB6" w:rsidRDefault="00333EB6" w:rsidP="00333EB6">
            <w:pPr>
              <w:spacing w:line="360" w:lineRule="auto"/>
              <w:jc w:val="both"/>
            </w:pPr>
            <w:r w:rsidRPr="00333EB6">
              <w:t>5.6</w:t>
            </w:r>
          </w:p>
        </w:tc>
      </w:tr>
      <w:tr w:rsidR="00021CEF" w:rsidRPr="00333EB6" w14:paraId="2C53502C" w14:textId="77777777" w:rsidTr="00021CEF">
        <w:trPr>
          <w:trHeight w:val="128"/>
        </w:trPr>
        <w:tc>
          <w:tcPr>
            <w:tcW w:w="1550" w:type="dxa"/>
          </w:tcPr>
          <w:p w14:paraId="3453B212" w14:textId="77777777" w:rsidR="00333EB6" w:rsidRPr="00333EB6" w:rsidRDefault="00333EB6" w:rsidP="00333EB6">
            <w:pPr>
              <w:spacing w:line="360" w:lineRule="auto"/>
              <w:jc w:val="both"/>
            </w:pPr>
            <w:r w:rsidRPr="00333EB6">
              <w:t>5</w:t>
            </w:r>
          </w:p>
        </w:tc>
        <w:tc>
          <w:tcPr>
            <w:tcW w:w="2439" w:type="dxa"/>
            <w:vAlign w:val="bottom"/>
          </w:tcPr>
          <w:p w14:paraId="09E32B98" w14:textId="77777777" w:rsidR="00333EB6" w:rsidRPr="00333EB6" w:rsidRDefault="00333EB6" w:rsidP="00333EB6">
            <w:pPr>
              <w:spacing w:line="360" w:lineRule="auto"/>
              <w:jc w:val="both"/>
            </w:pPr>
            <w:r w:rsidRPr="00333EB6">
              <w:t>0</w:t>
            </w:r>
          </w:p>
        </w:tc>
        <w:tc>
          <w:tcPr>
            <w:tcW w:w="1705" w:type="dxa"/>
          </w:tcPr>
          <w:p w14:paraId="6B0C0B88" w14:textId="77777777" w:rsidR="00333EB6" w:rsidRPr="00333EB6" w:rsidRDefault="00333EB6" w:rsidP="00333EB6">
            <w:pPr>
              <w:spacing w:line="360" w:lineRule="auto"/>
              <w:jc w:val="both"/>
            </w:pPr>
            <w:r w:rsidRPr="00333EB6">
              <w:t>0</w:t>
            </w:r>
          </w:p>
        </w:tc>
        <w:tc>
          <w:tcPr>
            <w:tcW w:w="1228" w:type="dxa"/>
          </w:tcPr>
          <w:p w14:paraId="48234BC7" w14:textId="77777777" w:rsidR="00333EB6" w:rsidRPr="00333EB6" w:rsidRDefault="00333EB6" w:rsidP="00333EB6">
            <w:pPr>
              <w:spacing w:line="360" w:lineRule="auto"/>
              <w:jc w:val="both"/>
            </w:pPr>
            <w:r w:rsidRPr="00333EB6">
              <w:t>9.12* 10</w:t>
            </w:r>
            <w:r w:rsidRPr="00333EB6">
              <w:rPr>
                <w:vertAlign w:val="superscript"/>
              </w:rPr>
              <w:t>3</w:t>
            </w:r>
          </w:p>
        </w:tc>
        <w:tc>
          <w:tcPr>
            <w:tcW w:w="1615" w:type="dxa"/>
            <w:vAlign w:val="bottom"/>
          </w:tcPr>
          <w:p w14:paraId="0D1EF660" w14:textId="77777777" w:rsidR="00333EB6" w:rsidRPr="00333EB6" w:rsidRDefault="00333EB6" w:rsidP="00333EB6">
            <w:pPr>
              <w:spacing w:line="360" w:lineRule="auto"/>
              <w:jc w:val="both"/>
            </w:pPr>
            <w:r w:rsidRPr="00333EB6">
              <w:t>5.49 * 10</w:t>
            </w:r>
            <w:r w:rsidRPr="00333EB6">
              <w:rPr>
                <w:vertAlign w:val="superscript"/>
              </w:rPr>
              <w:t>3</w:t>
            </w:r>
          </w:p>
        </w:tc>
        <w:tc>
          <w:tcPr>
            <w:tcW w:w="1163" w:type="dxa"/>
            <w:vAlign w:val="bottom"/>
          </w:tcPr>
          <w:p w14:paraId="77DE759F" w14:textId="77777777" w:rsidR="00333EB6" w:rsidRPr="00333EB6" w:rsidRDefault="00333EB6" w:rsidP="00333EB6">
            <w:pPr>
              <w:spacing w:line="360" w:lineRule="auto"/>
              <w:jc w:val="both"/>
            </w:pPr>
            <w:r w:rsidRPr="00333EB6">
              <w:t>16.3</w:t>
            </w:r>
          </w:p>
        </w:tc>
      </w:tr>
    </w:tbl>
    <w:p w14:paraId="43522441" w14:textId="07A8A49E" w:rsidR="00333EB6" w:rsidRPr="00333EB6" w:rsidRDefault="00333EB6" w:rsidP="00333EB6">
      <w:pPr>
        <w:spacing w:line="360" w:lineRule="auto"/>
        <w:jc w:val="both"/>
        <w:rPr>
          <w:lang w:val="en-GB"/>
        </w:rPr>
      </w:pPr>
      <w:r w:rsidRPr="00333EB6">
        <w:rPr>
          <w:lang w:val="en-GB"/>
        </w:rPr>
        <w:t xml:space="preserve">The Mann Whitney test between the </w:t>
      </w:r>
      <w:r w:rsidRPr="00333EB6">
        <w:rPr>
          <w:i/>
          <w:iCs/>
          <w:lang w:val="en-GB"/>
        </w:rPr>
        <w:t xml:space="preserve">F. </w:t>
      </w:r>
      <w:proofErr w:type="spellStart"/>
      <w:r w:rsidRPr="00333EB6">
        <w:rPr>
          <w:i/>
          <w:iCs/>
          <w:lang w:val="en-GB"/>
        </w:rPr>
        <w:t>Nucleatum</w:t>
      </w:r>
      <w:proofErr w:type="spellEnd"/>
      <w:r w:rsidRPr="00333EB6">
        <w:rPr>
          <w:i/>
          <w:iCs/>
          <w:lang w:val="en-GB"/>
        </w:rPr>
        <w:t xml:space="preserve"> </w:t>
      </w:r>
      <w:r w:rsidRPr="00333EB6">
        <w:rPr>
          <w:lang w:val="en-GB"/>
        </w:rPr>
        <w:t xml:space="preserve">of the endometriosis and the control groups did not result statistically significant with a p-value = </w:t>
      </w:r>
      <w:proofErr w:type="gramStart"/>
      <w:r w:rsidRPr="00333EB6">
        <w:rPr>
          <w:lang w:val="en-GB"/>
        </w:rPr>
        <w:t>0.05  (</w:t>
      </w:r>
      <w:proofErr w:type="gramEnd"/>
      <w:r w:rsidRPr="00333EB6">
        <w:rPr>
          <w:lang w:val="en-GB"/>
        </w:rPr>
        <w:t xml:space="preserve">Table 5). </w:t>
      </w:r>
    </w:p>
    <w:p w14:paraId="4EAE04AD" w14:textId="77777777" w:rsidR="00333EB6" w:rsidRDefault="00333EB6" w:rsidP="00333EB6">
      <w:pPr>
        <w:rPr>
          <w:sz w:val="20"/>
          <w:szCs w:val="20"/>
          <w:lang w:val="en-GB"/>
        </w:rPr>
      </w:pPr>
      <w:r w:rsidRPr="00333EB6">
        <w:rPr>
          <w:b/>
          <w:bCs/>
          <w:sz w:val="20"/>
          <w:szCs w:val="20"/>
          <w:lang w:val="en-GB"/>
        </w:rPr>
        <w:t>Table 3</w:t>
      </w:r>
      <w:r w:rsidRPr="00B232C9">
        <w:rPr>
          <w:sz w:val="20"/>
          <w:szCs w:val="20"/>
          <w:lang w:val="en-GB"/>
        </w:rPr>
        <w:t xml:space="preserve">. RealTime PCR of the endometriosis patients microbial saliva. </w:t>
      </w:r>
    </w:p>
    <w:p w14:paraId="04F63958" w14:textId="77777777" w:rsidR="00333EB6" w:rsidRPr="00D73971" w:rsidRDefault="00333EB6" w:rsidP="00333EB6">
      <w:pPr>
        <w:rPr>
          <w:lang w:val="en-GB"/>
        </w:rPr>
      </w:pPr>
    </w:p>
    <w:tbl>
      <w:tblPr>
        <w:tblStyle w:val="Grigliatabella"/>
        <w:tblW w:w="9923" w:type="dxa"/>
        <w:tblInd w:w="-714" w:type="dxa"/>
        <w:tblLook w:val="04A0" w:firstRow="1" w:lastRow="0" w:firstColumn="1" w:lastColumn="0" w:noHBand="0" w:noVBand="1"/>
      </w:tblPr>
      <w:tblGrid>
        <w:gridCol w:w="1027"/>
        <w:gridCol w:w="2568"/>
        <w:gridCol w:w="1763"/>
        <w:gridCol w:w="1644"/>
        <w:gridCol w:w="1670"/>
        <w:gridCol w:w="1251"/>
      </w:tblGrid>
      <w:tr w:rsidR="00021CEF" w:rsidRPr="00333EB6" w14:paraId="09124CCE" w14:textId="77777777" w:rsidTr="00021CEF">
        <w:trPr>
          <w:trHeight w:val="541"/>
        </w:trPr>
        <w:tc>
          <w:tcPr>
            <w:tcW w:w="1027" w:type="dxa"/>
          </w:tcPr>
          <w:p w14:paraId="750285EF" w14:textId="77777777" w:rsidR="00333EB6" w:rsidRPr="00333EB6" w:rsidRDefault="00333EB6" w:rsidP="00333EB6">
            <w:pPr>
              <w:spacing w:line="360" w:lineRule="auto"/>
              <w:jc w:val="both"/>
            </w:pPr>
            <w:r w:rsidRPr="00333EB6">
              <w:t xml:space="preserve">Control </w:t>
            </w:r>
            <w:proofErr w:type="spellStart"/>
            <w:r w:rsidRPr="00333EB6">
              <w:t>Patients</w:t>
            </w:r>
            <w:proofErr w:type="spellEnd"/>
            <w:r w:rsidRPr="00333EB6">
              <w:t xml:space="preserve"> </w:t>
            </w:r>
          </w:p>
        </w:tc>
        <w:tc>
          <w:tcPr>
            <w:tcW w:w="2568" w:type="dxa"/>
          </w:tcPr>
          <w:p w14:paraId="7CD91F07" w14:textId="77777777" w:rsidR="00333EB6" w:rsidRPr="00333EB6" w:rsidRDefault="00333EB6" w:rsidP="00333EB6">
            <w:pPr>
              <w:spacing w:line="360" w:lineRule="auto"/>
              <w:jc w:val="both"/>
              <w:rPr>
                <w:i/>
                <w:iCs/>
              </w:rPr>
            </w:pPr>
            <w:proofErr w:type="spellStart"/>
            <w:r w:rsidRPr="00333EB6">
              <w:rPr>
                <w:i/>
                <w:iCs/>
              </w:rPr>
              <w:t>Aggregatibacter</w:t>
            </w:r>
            <w:proofErr w:type="spellEnd"/>
            <w:r w:rsidRPr="00333EB6">
              <w:rPr>
                <w:i/>
                <w:iCs/>
              </w:rPr>
              <w:t xml:space="preserve"> </w:t>
            </w:r>
            <w:proofErr w:type="spellStart"/>
            <w:r w:rsidRPr="00333EB6">
              <w:rPr>
                <w:i/>
                <w:iCs/>
              </w:rPr>
              <w:t>actynomicetemcomitans</w:t>
            </w:r>
            <w:proofErr w:type="spellEnd"/>
            <w:r w:rsidRPr="00333EB6">
              <w:rPr>
                <w:i/>
                <w:iCs/>
              </w:rPr>
              <w:t xml:space="preserve"> </w:t>
            </w:r>
          </w:p>
        </w:tc>
        <w:tc>
          <w:tcPr>
            <w:tcW w:w="1763" w:type="dxa"/>
          </w:tcPr>
          <w:p w14:paraId="30883D77" w14:textId="77777777" w:rsidR="00333EB6" w:rsidRPr="00333EB6" w:rsidRDefault="00333EB6" w:rsidP="00333EB6">
            <w:pPr>
              <w:spacing w:line="360" w:lineRule="auto"/>
              <w:jc w:val="both"/>
              <w:rPr>
                <w:i/>
                <w:iCs/>
              </w:rPr>
            </w:pPr>
            <w:r w:rsidRPr="00333EB6">
              <w:rPr>
                <w:i/>
                <w:iCs/>
              </w:rPr>
              <w:t>Porphyromonas gingivalis</w:t>
            </w:r>
          </w:p>
        </w:tc>
        <w:tc>
          <w:tcPr>
            <w:tcW w:w="1644" w:type="dxa"/>
          </w:tcPr>
          <w:p w14:paraId="75AAC3B0" w14:textId="77777777" w:rsidR="00333EB6" w:rsidRPr="00333EB6" w:rsidRDefault="00333EB6" w:rsidP="00333EB6">
            <w:pPr>
              <w:spacing w:line="360" w:lineRule="auto"/>
              <w:jc w:val="both"/>
              <w:rPr>
                <w:i/>
                <w:iCs/>
              </w:rPr>
            </w:pPr>
            <w:r w:rsidRPr="00333EB6">
              <w:rPr>
                <w:i/>
                <w:iCs/>
              </w:rPr>
              <w:t xml:space="preserve">Prevotella Intermedia </w:t>
            </w:r>
          </w:p>
        </w:tc>
        <w:tc>
          <w:tcPr>
            <w:tcW w:w="1670" w:type="dxa"/>
          </w:tcPr>
          <w:p w14:paraId="33221F63" w14:textId="77777777" w:rsidR="00333EB6" w:rsidRPr="00333EB6" w:rsidRDefault="00333EB6" w:rsidP="00333EB6">
            <w:pPr>
              <w:spacing w:line="360" w:lineRule="auto"/>
              <w:jc w:val="both"/>
              <w:rPr>
                <w:i/>
                <w:iCs/>
              </w:rPr>
            </w:pPr>
            <w:r w:rsidRPr="00333EB6">
              <w:rPr>
                <w:i/>
                <w:iCs/>
              </w:rPr>
              <w:t xml:space="preserve">Fusobacterium nucleatum </w:t>
            </w:r>
          </w:p>
        </w:tc>
        <w:tc>
          <w:tcPr>
            <w:tcW w:w="1251" w:type="dxa"/>
          </w:tcPr>
          <w:p w14:paraId="3F1AFABF" w14:textId="77777777" w:rsidR="00333EB6" w:rsidRPr="00333EB6" w:rsidRDefault="00333EB6" w:rsidP="00333EB6">
            <w:pPr>
              <w:spacing w:line="360" w:lineRule="auto"/>
              <w:jc w:val="both"/>
              <w:rPr>
                <w:i/>
                <w:iCs/>
              </w:rPr>
            </w:pPr>
            <w:r w:rsidRPr="00333EB6">
              <w:rPr>
                <w:i/>
                <w:iCs/>
              </w:rPr>
              <w:t xml:space="preserve">% </w:t>
            </w:r>
            <w:proofErr w:type="spellStart"/>
            <w:r w:rsidRPr="00333EB6">
              <w:rPr>
                <w:i/>
                <w:iCs/>
              </w:rPr>
              <w:t>pathogens</w:t>
            </w:r>
            <w:proofErr w:type="spellEnd"/>
          </w:p>
        </w:tc>
      </w:tr>
      <w:tr w:rsidR="00021CEF" w:rsidRPr="00333EB6" w14:paraId="4CF06E8C" w14:textId="77777777" w:rsidTr="00021CEF">
        <w:trPr>
          <w:trHeight w:val="225"/>
        </w:trPr>
        <w:tc>
          <w:tcPr>
            <w:tcW w:w="1027" w:type="dxa"/>
          </w:tcPr>
          <w:p w14:paraId="1E191F07" w14:textId="77777777" w:rsidR="00333EB6" w:rsidRPr="00333EB6" w:rsidRDefault="00333EB6" w:rsidP="00333EB6">
            <w:pPr>
              <w:spacing w:line="360" w:lineRule="auto"/>
              <w:jc w:val="both"/>
            </w:pPr>
            <w:r w:rsidRPr="00333EB6">
              <w:t>1</w:t>
            </w:r>
          </w:p>
        </w:tc>
        <w:tc>
          <w:tcPr>
            <w:tcW w:w="2568" w:type="dxa"/>
            <w:vAlign w:val="bottom"/>
          </w:tcPr>
          <w:p w14:paraId="44C81F1E" w14:textId="77777777" w:rsidR="00333EB6" w:rsidRPr="00333EB6" w:rsidRDefault="00333EB6" w:rsidP="00333EB6">
            <w:pPr>
              <w:spacing w:line="360" w:lineRule="auto"/>
              <w:jc w:val="both"/>
            </w:pPr>
            <w:r w:rsidRPr="00333EB6">
              <w:t>0</w:t>
            </w:r>
          </w:p>
        </w:tc>
        <w:tc>
          <w:tcPr>
            <w:tcW w:w="1763" w:type="dxa"/>
          </w:tcPr>
          <w:p w14:paraId="4C5E97FE" w14:textId="77777777" w:rsidR="00333EB6" w:rsidRPr="00333EB6" w:rsidRDefault="00333EB6" w:rsidP="00333EB6">
            <w:pPr>
              <w:spacing w:line="360" w:lineRule="auto"/>
              <w:jc w:val="both"/>
            </w:pPr>
            <w:r w:rsidRPr="00333EB6">
              <w:t>0</w:t>
            </w:r>
          </w:p>
        </w:tc>
        <w:tc>
          <w:tcPr>
            <w:tcW w:w="1644" w:type="dxa"/>
            <w:vAlign w:val="bottom"/>
          </w:tcPr>
          <w:p w14:paraId="63F9B9CC" w14:textId="77777777" w:rsidR="00333EB6" w:rsidRPr="00333EB6" w:rsidRDefault="00333EB6" w:rsidP="00333EB6">
            <w:pPr>
              <w:spacing w:line="360" w:lineRule="auto"/>
              <w:jc w:val="both"/>
              <w:rPr>
                <w:vertAlign w:val="superscript"/>
              </w:rPr>
            </w:pPr>
            <w:r w:rsidRPr="00333EB6">
              <w:t>2.72* 10</w:t>
            </w:r>
            <w:r w:rsidRPr="00333EB6">
              <w:rPr>
                <w:vertAlign w:val="superscript"/>
              </w:rPr>
              <w:t>3</w:t>
            </w:r>
          </w:p>
        </w:tc>
        <w:tc>
          <w:tcPr>
            <w:tcW w:w="1670" w:type="dxa"/>
            <w:vAlign w:val="bottom"/>
          </w:tcPr>
          <w:p w14:paraId="7E59AEBB" w14:textId="77777777" w:rsidR="00333EB6" w:rsidRPr="00333EB6" w:rsidRDefault="00333EB6" w:rsidP="00333EB6">
            <w:pPr>
              <w:spacing w:line="360" w:lineRule="auto"/>
              <w:jc w:val="both"/>
              <w:rPr>
                <w:vertAlign w:val="superscript"/>
              </w:rPr>
            </w:pPr>
            <w:r w:rsidRPr="00333EB6">
              <w:t>1.08 * 10</w:t>
            </w:r>
            <w:r w:rsidRPr="00333EB6">
              <w:rPr>
                <w:vertAlign w:val="superscript"/>
              </w:rPr>
              <w:t>2</w:t>
            </w:r>
          </w:p>
        </w:tc>
        <w:tc>
          <w:tcPr>
            <w:tcW w:w="1251" w:type="dxa"/>
            <w:vAlign w:val="bottom"/>
          </w:tcPr>
          <w:p w14:paraId="51914427" w14:textId="77777777" w:rsidR="00333EB6" w:rsidRPr="00333EB6" w:rsidRDefault="00333EB6" w:rsidP="00333EB6">
            <w:pPr>
              <w:spacing w:line="360" w:lineRule="auto"/>
              <w:jc w:val="both"/>
            </w:pPr>
            <w:r w:rsidRPr="00333EB6">
              <w:t>15</w:t>
            </w:r>
          </w:p>
        </w:tc>
      </w:tr>
      <w:tr w:rsidR="00021CEF" w:rsidRPr="00333EB6" w14:paraId="191E2ACE" w14:textId="77777777" w:rsidTr="00021CEF">
        <w:trPr>
          <w:trHeight w:val="225"/>
        </w:trPr>
        <w:tc>
          <w:tcPr>
            <w:tcW w:w="1027" w:type="dxa"/>
          </w:tcPr>
          <w:p w14:paraId="3ECDDDA8" w14:textId="77777777" w:rsidR="00333EB6" w:rsidRPr="00333EB6" w:rsidRDefault="00333EB6" w:rsidP="00333EB6">
            <w:pPr>
              <w:spacing w:line="360" w:lineRule="auto"/>
              <w:jc w:val="both"/>
            </w:pPr>
            <w:r w:rsidRPr="00333EB6">
              <w:t>2</w:t>
            </w:r>
          </w:p>
        </w:tc>
        <w:tc>
          <w:tcPr>
            <w:tcW w:w="2568" w:type="dxa"/>
            <w:vAlign w:val="bottom"/>
          </w:tcPr>
          <w:p w14:paraId="7ABD45FA" w14:textId="77777777" w:rsidR="00333EB6" w:rsidRPr="00333EB6" w:rsidRDefault="00333EB6" w:rsidP="00333EB6">
            <w:pPr>
              <w:spacing w:line="360" w:lineRule="auto"/>
              <w:jc w:val="both"/>
            </w:pPr>
            <w:r w:rsidRPr="00333EB6">
              <w:t>0</w:t>
            </w:r>
          </w:p>
        </w:tc>
        <w:tc>
          <w:tcPr>
            <w:tcW w:w="1763" w:type="dxa"/>
          </w:tcPr>
          <w:p w14:paraId="4A3280C1" w14:textId="77777777" w:rsidR="00333EB6" w:rsidRPr="00333EB6" w:rsidRDefault="00333EB6" w:rsidP="00333EB6">
            <w:pPr>
              <w:spacing w:line="360" w:lineRule="auto"/>
              <w:jc w:val="both"/>
            </w:pPr>
            <w:r w:rsidRPr="00333EB6">
              <w:t>0</w:t>
            </w:r>
          </w:p>
        </w:tc>
        <w:tc>
          <w:tcPr>
            <w:tcW w:w="1644" w:type="dxa"/>
            <w:vAlign w:val="bottom"/>
          </w:tcPr>
          <w:p w14:paraId="0E824C66" w14:textId="77777777" w:rsidR="00333EB6" w:rsidRPr="00333EB6" w:rsidRDefault="00333EB6" w:rsidP="00333EB6">
            <w:pPr>
              <w:spacing w:line="360" w:lineRule="auto"/>
              <w:jc w:val="both"/>
            </w:pPr>
            <w:r w:rsidRPr="00333EB6">
              <w:t>0</w:t>
            </w:r>
          </w:p>
        </w:tc>
        <w:tc>
          <w:tcPr>
            <w:tcW w:w="1670" w:type="dxa"/>
            <w:vAlign w:val="bottom"/>
          </w:tcPr>
          <w:p w14:paraId="37B9A831" w14:textId="77777777" w:rsidR="00333EB6" w:rsidRPr="00333EB6" w:rsidRDefault="00333EB6" w:rsidP="00333EB6">
            <w:pPr>
              <w:spacing w:line="360" w:lineRule="auto"/>
              <w:jc w:val="both"/>
            </w:pPr>
            <w:r w:rsidRPr="00333EB6">
              <w:t>0</w:t>
            </w:r>
          </w:p>
        </w:tc>
        <w:tc>
          <w:tcPr>
            <w:tcW w:w="1251" w:type="dxa"/>
            <w:vAlign w:val="bottom"/>
          </w:tcPr>
          <w:p w14:paraId="6876300C" w14:textId="77777777" w:rsidR="00333EB6" w:rsidRPr="00333EB6" w:rsidRDefault="00333EB6" w:rsidP="00333EB6">
            <w:pPr>
              <w:spacing w:line="360" w:lineRule="auto"/>
              <w:jc w:val="both"/>
            </w:pPr>
            <w:r w:rsidRPr="00333EB6">
              <w:t>0</w:t>
            </w:r>
          </w:p>
        </w:tc>
      </w:tr>
      <w:tr w:rsidR="00021CEF" w:rsidRPr="00333EB6" w14:paraId="18987E72" w14:textId="77777777" w:rsidTr="00021CEF">
        <w:trPr>
          <w:trHeight w:val="225"/>
        </w:trPr>
        <w:tc>
          <w:tcPr>
            <w:tcW w:w="1027" w:type="dxa"/>
          </w:tcPr>
          <w:p w14:paraId="355CF0A3" w14:textId="77777777" w:rsidR="00333EB6" w:rsidRPr="00333EB6" w:rsidRDefault="00333EB6" w:rsidP="00333EB6">
            <w:pPr>
              <w:spacing w:line="360" w:lineRule="auto"/>
              <w:jc w:val="both"/>
            </w:pPr>
            <w:r w:rsidRPr="00333EB6">
              <w:t>3</w:t>
            </w:r>
          </w:p>
        </w:tc>
        <w:tc>
          <w:tcPr>
            <w:tcW w:w="2568" w:type="dxa"/>
            <w:vAlign w:val="bottom"/>
          </w:tcPr>
          <w:p w14:paraId="498861D9" w14:textId="77777777" w:rsidR="00333EB6" w:rsidRPr="00333EB6" w:rsidRDefault="00333EB6" w:rsidP="00333EB6">
            <w:pPr>
              <w:spacing w:line="360" w:lineRule="auto"/>
              <w:jc w:val="both"/>
            </w:pPr>
            <w:r w:rsidRPr="00333EB6">
              <w:t>1.81* 10</w:t>
            </w:r>
            <w:r w:rsidRPr="00333EB6">
              <w:rPr>
                <w:vertAlign w:val="superscript"/>
              </w:rPr>
              <w:t>2</w:t>
            </w:r>
          </w:p>
        </w:tc>
        <w:tc>
          <w:tcPr>
            <w:tcW w:w="1763" w:type="dxa"/>
          </w:tcPr>
          <w:p w14:paraId="101EAA5C" w14:textId="77777777" w:rsidR="00333EB6" w:rsidRPr="00333EB6" w:rsidRDefault="00333EB6" w:rsidP="00333EB6">
            <w:pPr>
              <w:spacing w:line="360" w:lineRule="auto"/>
              <w:jc w:val="both"/>
            </w:pPr>
            <w:r w:rsidRPr="00333EB6">
              <w:t>0</w:t>
            </w:r>
          </w:p>
        </w:tc>
        <w:tc>
          <w:tcPr>
            <w:tcW w:w="1644" w:type="dxa"/>
            <w:vAlign w:val="bottom"/>
          </w:tcPr>
          <w:p w14:paraId="037A4DD0" w14:textId="77777777" w:rsidR="00333EB6" w:rsidRPr="00333EB6" w:rsidRDefault="00333EB6" w:rsidP="00333EB6">
            <w:pPr>
              <w:spacing w:line="360" w:lineRule="auto"/>
              <w:jc w:val="both"/>
            </w:pPr>
            <w:r w:rsidRPr="00333EB6">
              <w:t>8.08 * 10</w:t>
            </w:r>
            <w:r w:rsidRPr="00333EB6">
              <w:rPr>
                <w:vertAlign w:val="superscript"/>
              </w:rPr>
              <w:t>3</w:t>
            </w:r>
          </w:p>
        </w:tc>
        <w:tc>
          <w:tcPr>
            <w:tcW w:w="1670" w:type="dxa"/>
            <w:vAlign w:val="bottom"/>
          </w:tcPr>
          <w:p w14:paraId="0607D57F" w14:textId="77777777" w:rsidR="00333EB6" w:rsidRPr="00333EB6" w:rsidRDefault="00333EB6" w:rsidP="00333EB6">
            <w:pPr>
              <w:spacing w:line="360" w:lineRule="auto"/>
              <w:jc w:val="both"/>
            </w:pPr>
            <w:r w:rsidRPr="00333EB6">
              <w:t>7.82 * 10</w:t>
            </w:r>
            <w:r w:rsidRPr="00333EB6">
              <w:rPr>
                <w:vertAlign w:val="superscript"/>
              </w:rPr>
              <w:t>2</w:t>
            </w:r>
          </w:p>
        </w:tc>
        <w:tc>
          <w:tcPr>
            <w:tcW w:w="1251" w:type="dxa"/>
            <w:vAlign w:val="bottom"/>
          </w:tcPr>
          <w:p w14:paraId="75960DB3" w14:textId="77777777" w:rsidR="00333EB6" w:rsidRPr="00333EB6" w:rsidRDefault="00333EB6" w:rsidP="00333EB6">
            <w:pPr>
              <w:spacing w:line="360" w:lineRule="auto"/>
              <w:jc w:val="both"/>
            </w:pPr>
            <w:r w:rsidRPr="00333EB6">
              <w:t>12</w:t>
            </w:r>
          </w:p>
        </w:tc>
      </w:tr>
      <w:tr w:rsidR="00021CEF" w:rsidRPr="00333EB6" w14:paraId="0A0A707B" w14:textId="77777777" w:rsidTr="00021CEF">
        <w:trPr>
          <w:trHeight w:val="225"/>
        </w:trPr>
        <w:tc>
          <w:tcPr>
            <w:tcW w:w="1027" w:type="dxa"/>
          </w:tcPr>
          <w:p w14:paraId="2D379CFA" w14:textId="77777777" w:rsidR="00333EB6" w:rsidRPr="00333EB6" w:rsidRDefault="00333EB6" w:rsidP="00333EB6">
            <w:pPr>
              <w:spacing w:line="360" w:lineRule="auto"/>
              <w:jc w:val="both"/>
            </w:pPr>
            <w:r w:rsidRPr="00333EB6">
              <w:t>4</w:t>
            </w:r>
          </w:p>
        </w:tc>
        <w:tc>
          <w:tcPr>
            <w:tcW w:w="2568" w:type="dxa"/>
            <w:vAlign w:val="bottom"/>
          </w:tcPr>
          <w:p w14:paraId="498DFA30" w14:textId="77777777" w:rsidR="00333EB6" w:rsidRPr="00333EB6" w:rsidRDefault="00333EB6" w:rsidP="00333EB6">
            <w:pPr>
              <w:spacing w:line="360" w:lineRule="auto"/>
              <w:jc w:val="both"/>
            </w:pPr>
            <w:r w:rsidRPr="00333EB6">
              <w:t>0</w:t>
            </w:r>
          </w:p>
        </w:tc>
        <w:tc>
          <w:tcPr>
            <w:tcW w:w="1763" w:type="dxa"/>
          </w:tcPr>
          <w:p w14:paraId="66C3D555" w14:textId="77777777" w:rsidR="00333EB6" w:rsidRPr="00333EB6" w:rsidRDefault="00333EB6" w:rsidP="00333EB6">
            <w:pPr>
              <w:spacing w:line="360" w:lineRule="auto"/>
              <w:jc w:val="both"/>
            </w:pPr>
            <w:r w:rsidRPr="00333EB6">
              <w:t>0</w:t>
            </w:r>
          </w:p>
        </w:tc>
        <w:tc>
          <w:tcPr>
            <w:tcW w:w="1644" w:type="dxa"/>
            <w:vAlign w:val="bottom"/>
          </w:tcPr>
          <w:p w14:paraId="01DC0C2D" w14:textId="77777777" w:rsidR="00333EB6" w:rsidRPr="00333EB6" w:rsidRDefault="00333EB6" w:rsidP="00333EB6">
            <w:pPr>
              <w:spacing w:line="360" w:lineRule="auto"/>
              <w:jc w:val="both"/>
            </w:pPr>
            <w:r w:rsidRPr="00333EB6">
              <w:t>0</w:t>
            </w:r>
          </w:p>
        </w:tc>
        <w:tc>
          <w:tcPr>
            <w:tcW w:w="1670" w:type="dxa"/>
            <w:vAlign w:val="bottom"/>
          </w:tcPr>
          <w:p w14:paraId="71CBDC35" w14:textId="77777777" w:rsidR="00333EB6" w:rsidRPr="00333EB6" w:rsidRDefault="00333EB6" w:rsidP="00333EB6">
            <w:pPr>
              <w:spacing w:line="360" w:lineRule="auto"/>
              <w:jc w:val="both"/>
            </w:pPr>
            <w:r w:rsidRPr="00333EB6">
              <w:t>1.13 * 10</w:t>
            </w:r>
            <w:r w:rsidRPr="00333EB6">
              <w:rPr>
                <w:vertAlign w:val="superscript"/>
              </w:rPr>
              <w:t>2</w:t>
            </w:r>
          </w:p>
        </w:tc>
        <w:tc>
          <w:tcPr>
            <w:tcW w:w="1251" w:type="dxa"/>
            <w:vAlign w:val="bottom"/>
          </w:tcPr>
          <w:p w14:paraId="34CBD07F" w14:textId="77777777" w:rsidR="00333EB6" w:rsidRPr="00333EB6" w:rsidRDefault="00333EB6" w:rsidP="00333EB6">
            <w:pPr>
              <w:spacing w:line="360" w:lineRule="auto"/>
              <w:jc w:val="both"/>
            </w:pPr>
            <w:r w:rsidRPr="00333EB6">
              <w:t>3</w:t>
            </w:r>
          </w:p>
        </w:tc>
      </w:tr>
      <w:tr w:rsidR="00021CEF" w:rsidRPr="00333EB6" w14:paraId="0FBE2A74" w14:textId="77777777" w:rsidTr="00021CEF">
        <w:trPr>
          <w:trHeight w:val="225"/>
        </w:trPr>
        <w:tc>
          <w:tcPr>
            <w:tcW w:w="1027" w:type="dxa"/>
          </w:tcPr>
          <w:p w14:paraId="4D89D814" w14:textId="77777777" w:rsidR="00333EB6" w:rsidRPr="00333EB6" w:rsidRDefault="00333EB6" w:rsidP="00333EB6">
            <w:pPr>
              <w:spacing w:line="360" w:lineRule="auto"/>
              <w:jc w:val="both"/>
            </w:pPr>
            <w:r w:rsidRPr="00333EB6">
              <w:t>5</w:t>
            </w:r>
          </w:p>
        </w:tc>
        <w:tc>
          <w:tcPr>
            <w:tcW w:w="2568" w:type="dxa"/>
            <w:vAlign w:val="bottom"/>
          </w:tcPr>
          <w:p w14:paraId="3C33565A" w14:textId="77777777" w:rsidR="00333EB6" w:rsidRPr="00333EB6" w:rsidRDefault="00333EB6" w:rsidP="00333EB6">
            <w:pPr>
              <w:spacing w:line="360" w:lineRule="auto"/>
              <w:jc w:val="both"/>
            </w:pPr>
            <w:r w:rsidRPr="00333EB6">
              <w:t>0</w:t>
            </w:r>
          </w:p>
        </w:tc>
        <w:tc>
          <w:tcPr>
            <w:tcW w:w="1763" w:type="dxa"/>
          </w:tcPr>
          <w:p w14:paraId="1884816E" w14:textId="77777777" w:rsidR="00333EB6" w:rsidRPr="00333EB6" w:rsidRDefault="00333EB6" w:rsidP="00333EB6">
            <w:pPr>
              <w:spacing w:line="360" w:lineRule="auto"/>
              <w:jc w:val="both"/>
            </w:pPr>
            <w:r w:rsidRPr="00333EB6">
              <w:t>0</w:t>
            </w:r>
          </w:p>
        </w:tc>
        <w:tc>
          <w:tcPr>
            <w:tcW w:w="1644" w:type="dxa"/>
            <w:vAlign w:val="bottom"/>
          </w:tcPr>
          <w:p w14:paraId="2E661E6C" w14:textId="77777777" w:rsidR="00333EB6" w:rsidRPr="00333EB6" w:rsidRDefault="00333EB6" w:rsidP="00333EB6">
            <w:pPr>
              <w:spacing w:line="360" w:lineRule="auto"/>
              <w:jc w:val="both"/>
            </w:pPr>
            <w:r w:rsidRPr="00333EB6">
              <w:t>0</w:t>
            </w:r>
          </w:p>
        </w:tc>
        <w:tc>
          <w:tcPr>
            <w:tcW w:w="1670" w:type="dxa"/>
            <w:vAlign w:val="bottom"/>
          </w:tcPr>
          <w:p w14:paraId="1EA9D753" w14:textId="77777777" w:rsidR="00333EB6" w:rsidRPr="00333EB6" w:rsidRDefault="00333EB6" w:rsidP="00333EB6">
            <w:pPr>
              <w:spacing w:line="360" w:lineRule="auto"/>
              <w:jc w:val="both"/>
            </w:pPr>
            <w:r w:rsidRPr="00333EB6">
              <w:t>0</w:t>
            </w:r>
          </w:p>
        </w:tc>
        <w:tc>
          <w:tcPr>
            <w:tcW w:w="1251" w:type="dxa"/>
            <w:vAlign w:val="bottom"/>
          </w:tcPr>
          <w:p w14:paraId="74B64691" w14:textId="77777777" w:rsidR="00333EB6" w:rsidRPr="00333EB6" w:rsidRDefault="00333EB6" w:rsidP="00333EB6">
            <w:pPr>
              <w:spacing w:line="360" w:lineRule="auto"/>
              <w:jc w:val="both"/>
            </w:pPr>
            <w:r w:rsidRPr="00333EB6">
              <w:t>0</w:t>
            </w:r>
          </w:p>
        </w:tc>
      </w:tr>
    </w:tbl>
    <w:p w14:paraId="0D6F6EB3" w14:textId="77777777" w:rsidR="00333EB6" w:rsidRDefault="00333EB6" w:rsidP="00333EB6">
      <w:pPr>
        <w:jc w:val="both"/>
        <w:rPr>
          <w:sz w:val="20"/>
          <w:szCs w:val="20"/>
          <w:lang w:val="en-GB"/>
        </w:rPr>
      </w:pPr>
      <w:r w:rsidRPr="00333EB6">
        <w:rPr>
          <w:b/>
          <w:bCs/>
          <w:sz w:val="20"/>
          <w:szCs w:val="20"/>
          <w:lang w:val="en-GB"/>
        </w:rPr>
        <w:t>Table 4.</w:t>
      </w:r>
      <w:r w:rsidRPr="00B232C9">
        <w:rPr>
          <w:sz w:val="20"/>
          <w:szCs w:val="20"/>
          <w:lang w:val="en-GB"/>
        </w:rPr>
        <w:t xml:space="preserve"> RealTime PCR of the control subjects microbial saliva. </w:t>
      </w:r>
    </w:p>
    <w:p w14:paraId="06F6723E" w14:textId="77777777" w:rsidR="00333EB6" w:rsidRPr="00B232C9" w:rsidRDefault="00333EB6" w:rsidP="00333EB6">
      <w:pPr>
        <w:rPr>
          <w:sz w:val="20"/>
          <w:szCs w:val="20"/>
          <w:lang w:val="en-GB"/>
        </w:rPr>
      </w:pPr>
    </w:p>
    <w:tbl>
      <w:tblPr>
        <w:tblW w:w="808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30"/>
        <w:gridCol w:w="850"/>
      </w:tblGrid>
      <w:tr w:rsidR="00333EB6" w:rsidRPr="00333EB6" w14:paraId="70BE8657" w14:textId="77777777" w:rsidTr="009D4E82">
        <w:tc>
          <w:tcPr>
            <w:tcW w:w="7230" w:type="dxa"/>
            <w:noWrap/>
            <w:tcMar>
              <w:top w:w="15" w:type="dxa"/>
              <w:left w:w="15" w:type="dxa"/>
              <w:bottom w:w="0" w:type="dxa"/>
              <w:right w:w="15" w:type="dxa"/>
            </w:tcMar>
            <w:vAlign w:val="bottom"/>
            <w:hideMark/>
          </w:tcPr>
          <w:p w14:paraId="37896441" w14:textId="77777777" w:rsidR="00333EB6" w:rsidRPr="00333EB6" w:rsidRDefault="00333EB6" w:rsidP="002C1CBA">
            <w:pPr>
              <w:rPr>
                <w:lang w:val="en-GB"/>
              </w:rPr>
            </w:pPr>
            <w:r w:rsidRPr="00333EB6">
              <w:rPr>
                <w:lang w:val="en-GB"/>
              </w:rPr>
              <w:t xml:space="preserve">Mann Whitney test between Endometriosis and Control Patients- </w:t>
            </w:r>
            <w:r w:rsidRPr="00333EB6">
              <w:rPr>
                <w:i/>
                <w:iCs/>
                <w:lang w:val="en-GB"/>
              </w:rPr>
              <w:t xml:space="preserve">F. </w:t>
            </w:r>
            <w:proofErr w:type="spellStart"/>
            <w:r w:rsidRPr="00333EB6">
              <w:rPr>
                <w:i/>
                <w:iCs/>
                <w:lang w:val="en-GB"/>
              </w:rPr>
              <w:t>nucleatum</w:t>
            </w:r>
            <w:proofErr w:type="spellEnd"/>
            <w:r w:rsidRPr="00333EB6">
              <w:rPr>
                <w:lang w:val="en-GB"/>
              </w:rPr>
              <w:t xml:space="preserve"> </w:t>
            </w:r>
          </w:p>
        </w:tc>
        <w:tc>
          <w:tcPr>
            <w:tcW w:w="850" w:type="dxa"/>
            <w:noWrap/>
            <w:tcMar>
              <w:top w:w="15" w:type="dxa"/>
              <w:left w:w="15" w:type="dxa"/>
              <w:bottom w:w="0" w:type="dxa"/>
              <w:right w:w="15" w:type="dxa"/>
            </w:tcMar>
            <w:vAlign w:val="bottom"/>
            <w:hideMark/>
          </w:tcPr>
          <w:p w14:paraId="2CD7E024" w14:textId="77777777" w:rsidR="00333EB6" w:rsidRPr="00333EB6" w:rsidRDefault="00333EB6" w:rsidP="002C1CBA">
            <w:pPr>
              <w:jc w:val="right"/>
            </w:pPr>
            <w:r w:rsidRPr="00333EB6">
              <w:t>3</w:t>
            </w:r>
          </w:p>
        </w:tc>
      </w:tr>
      <w:tr w:rsidR="00333EB6" w:rsidRPr="00333EB6" w14:paraId="3BF82BAF" w14:textId="77777777" w:rsidTr="009D4E82">
        <w:tc>
          <w:tcPr>
            <w:tcW w:w="7230" w:type="dxa"/>
            <w:noWrap/>
            <w:tcMar>
              <w:top w:w="15" w:type="dxa"/>
              <w:left w:w="15" w:type="dxa"/>
              <w:bottom w:w="0" w:type="dxa"/>
              <w:right w:w="15" w:type="dxa"/>
            </w:tcMar>
            <w:vAlign w:val="bottom"/>
            <w:hideMark/>
          </w:tcPr>
          <w:p w14:paraId="58349976" w14:textId="77777777" w:rsidR="00333EB6" w:rsidRPr="00333EB6" w:rsidRDefault="00333EB6" w:rsidP="002C1CBA">
            <w:r w:rsidRPr="00333EB6">
              <w:t>    P </w:t>
            </w:r>
            <w:proofErr w:type="spellStart"/>
            <w:r w:rsidRPr="00333EB6">
              <w:t>value</w:t>
            </w:r>
            <w:proofErr w:type="spellEnd"/>
          </w:p>
        </w:tc>
        <w:tc>
          <w:tcPr>
            <w:tcW w:w="850" w:type="dxa"/>
            <w:noWrap/>
            <w:tcMar>
              <w:top w:w="15" w:type="dxa"/>
              <w:left w:w="15" w:type="dxa"/>
              <w:bottom w:w="0" w:type="dxa"/>
              <w:right w:w="15" w:type="dxa"/>
            </w:tcMar>
            <w:vAlign w:val="bottom"/>
            <w:hideMark/>
          </w:tcPr>
          <w:p w14:paraId="74F0263F" w14:textId="77777777" w:rsidR="00333EB6" w:rsidRPr="00333EB6" w:rsidRDefault="00333EB6" w:rsidP="002C1CBA">
            <w:pPr>
              <w:jc w:val="right"/>
            </w:pPr>
            <w:r w:rsidRPr="00333EB6">
              <w:t>0.0556</w:t>
            </w:r>
          </w:p>
        </w:tc>
      </w:tr>
    </w:tbl>
    <w:p w14:paraId="59D1BE95" w14:textId="0718DA62" w:rsidR="00960B95" w:rsidRPr="00333EB6" w:rsidRDefault="00333EB6" w:rsidP="00333EB6">
      <w:pPr>
        <w:rPr>
          <w:sz w:val="20"/>
          <w:szCs w:val="20"/>
          <w:lang w:val="en-GB"/>
        </w:rPr>
      </w:pPr>
      <w:r w:rsidRPr="00333EB6">
        <w:rPr>
          <w:b/>
          <w:bCs/>
          <w:sz w:val="20"/>
          <w:szCs w:val="20"/>
          <w:lang w:val="en-GB"/>
        </w:rPr>
        <w:t>Table 5.</w:t>
      </w:r>
      <w:r w:rsidRPr="00B232C9">
        <w:rPr>
          <w:sz w:val="20"/>
          <w:szCs w:val="20"/>
          <w:lang w:val="en-GB"/>
        </w:rPr>
        <w:t xml:space="preserve"> </w:t>
      </w:r>
      <w:r w:rsidRPr="001C6D74">
        <w:rPr>
          <w:sz w:val="20"/>
          <w:szCs w:val="20"/>
          <w:lang w:val="en-GB"/>
        </w:rPr>
        <w:t>Mann Whitney test</w:t>
      </w:r>
      <w:r w:rsidRPr="00B232C9">
        <w:rPr>
          <w:sz w:val="20"/>
          <w:szCs w:val="20"/>
          <w:lang w:val="en-GB"/>
        </w:rPr>
        <w:t xml:space="preserve">. P value = 0.05. </w:t>
      </w:r>
    </w:p>
    <w:p w14:paraId="29585685" w14:textId="3D914617" w:rsidR="00C50101" w:rsidRPr="00914193" w:rsidRDefault="00290211" w:rsidP="000D6AFA">
      <w:pPr>
        <w:pStyle w:val="Titolo2"/>
        <w:spacing w:line="360" w:lineRule="auto"/>
        <w:rPr>
          <w:sz w:val="32"/>
          <w:szCs w:val="32"/>
          <w:lang w:val="en-US"/>
        </w:rPr>
      </w:pPr>
      <w:bookmarkStart w:id="35" w:name="_Toc219243299"/>
      <w:r w:rsidRPr="00914193">
        <w:rPr>
          <w:sz w:val="32"/>
          <w:szCs w:val="32"/>
          <w:lang w:val="en-US"/>
        </w:rPr>
        <w:lastRenderedPageBreak/>
        <w:t>4</w:t>
      </w:r>
      <w:r w:rsidR="00B6019B" w:rsidRPr="00914193">
        <w:rPr>
          <w:sz w:val="32"/>
          <w:szCs w:val="32"/>
          <w:lang w:val="en-US"/>
        </w:rPr>
        <w:t>.</w:t>
      </w:r>
      <w:r w:rsidR="00914193">
        <w:rPr>
          <w:sz w:val="32"/>
          <w:szCs w:val="32"/>
          <w:lang w:val="en-US"/>
        </w:rPr>
        <w:t>2</w:t>
      </w:r>
      <w:r w:rsidR="00C50101" w:rsidRPr="00914193">
        <w:rPr>
          <w:sz w:val="32"/>
          <w:szCs w:val="32"/>
          <w:lang w:val="en-US"/>
        </w:rPr>
        <w:t xml:space="preserve"> </w:t>
      </w:r>
      <w:r w:rsidR="00914193" w:rsidRPr="00914193">
        <w:rPr>
          <w:sz w:val="32"/>
          <w:szCs w:val="32"/>
          <w:lang w:val="en-US"/>
        </w:rPr>
        <w:t>Relative distribution of periodontal bacterial complexes</w:t>
      </w:r>
      <w:bookmarkEnd w:id="35"/>
    </w:p>
    <w:p w14:paraId="0E178E1B" w14:textId="51814E23" w:rsidR="000D6AFA" w:rsidRDefault="000D6AFA" w:rsidP="004C4FA7">
      <w:pPr>
        <w:spacing w:line="360" w:lineRule="auto"/>
        <w:jc w:val="both"/>
        <w:rPr>
          <w:lang w:val="en-US"/>
        </w:rPr>
      </w:pPr>
      <w:r w:rsidRPr="00914193">
        <w:rPr>
          <w:lang w:val="en-US"/>
        </w:rPr>
        <w:t>The relative distribution of periodontal bacterial complexes differed between groups. Healthy controls were predominantly characterized by saprophytic bacteria, whereas patients with endometriosis showed an increased proportion of orange complex species and the presence of red complex bacteria. These findings suggest a shift toward a more dysbiotic subgingival microbiota in endometriosis patients.</w:t>
      </w:r>
    </w:p>
    <w:p w14:paraId="64114310" w14:textId="76768B6F" w:rsidR="00914193" w:rsidRPr="00914193" w:rsidRDefault="00914193" w:rsidP="004C4FA7">
      <w:pPr>
        <w:spacing w:line="360" w:lineRule="auto"/>
        <w:jc w:val="both"/>
        <w:rPr>
          <w:lang w:val="en-US"/>
        </w:rPr>
      </w:pPr>
      <w:r w:rsidRPr="00914193">
        <w:rPr>
          <w:lang w:val="en-US"/>
        </w:rPr>
        <w:t xml:space="preserve">The relative distribution of periodontal bacterial complexes differed between groups. Healthy controls showed a microbiota predominantly composed of saprophytic bacteria, whereas patients with endometriosis exhibited an increased proportion of orange complex species and the presence of red complex bacteria (Table </w:t>
      </w:r>
      <w:r w:rsidR="00333EB6">
        <w:rPr>
          <w:lang w:val="en-US"/>
        </w:rPr>
        <w:t>6</w:t>
      </w:r>
      <w:r w:rsidRPr="00914193">
        <w:rPr>
          <w:lang w:val="en-US"/>
        </w:rPr>
        <w:t xml:space="preserve">, Figure </w:t>
      </w:r>
      <w:r w:rsidR="00333EB6">
        <w:rPr>
          <w:lang w:val="en-US"/>
        </w:rPr>
        <w:t>13</w:t>
      </w:r>
      <w:r w:rsidRPr="00914193">
        <w:rPr>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2220"/>
        <w:gridCol w:w="2889"/>
      </w:tblGrid>
      <w:tr w:rsidR="00914193" w:rsidRPr="00914193" w14:paraId="07B32156" w14:textId="77777777" w:rsidTr="00914193">
        <w:trPr>
          <w:tblHeader/>
          <w:tblCellSpacing w:w="15" w:type="dxa"/>
        </w:trPr>
        <w:tc>
          <w:tcPr>
            <w:tcW w:w="0" w:type="auto"/>
            <w:vAlign w:val="center"/>
            <w:hideMark/>
          </w:tcPr>
          <w:p w14:paraId="5930C07D" w14:textId="77777777" w:rsidR="00914193" w:rsidRPr="00914193" w:rsidRDefault="00914193" w:rsidP="00914193">
            <w:pPr>
              <w:spacing w:line="360" w:lineRule="auto"/>
              <w:jc w:val="both"/>
              <w:rPr>
                <w:b/>
                <w:bCs/>
              </w:rPr>
            </w:pPr>
            <w:proofErr w:type="spellStart"/>
            <w:r w:rsidRPr="00914193">
              <w:rPr>
                <w:b/>
                <w:bCs/>
              </w:rPr>
              <w:t>Bacterial</w:t>
            </w:r>
            <w:proofErr w:type="spellEnd"/>
            <w:r w:rsidRPr="00914193">
              <w:rPr>
                <w:b/>
                <w:bCs/>
              </w:rPr>
              <w:t xml:space="preserve"> </w:t>
            </w:r>
            <w:proofErr w:type="spellStart"/>
            <w:r w:rsidRPr="00914193">
              <w:rPr>
                <w:b/>
                <w:bCs/>
              </w:rPr>
              <w:t>complex</w:t>
            </w:r>
            <w:proofErr w:type="spellEnd"/>
          </w:p>
        </w:tc>
        <w:tc>
          <w:tcPr>
            <w:tcW w:w="0" w:type="auto"/>
            <w:vAlign w:val="center"/>
            <w:hideMark/>
          </w:tcPr>
          <w:p w14:paraId="3E555E04" w14:textId="77777777" w:rsidR="00914193" w:rsidRPr="00914193" w:rsidRDefault="00914193" w:rsidP="00914193">
            <w:pPr>
              <w:spacing w:line="360" w:lineRule="auto"/>
              <w:jc w:val="both"/>
              <w:rPr>
                <w:b/>
                <w:bCs/>
              </w:rPr>
            </w:pPr>
            <w:proofErr w:type="spellStart"/>
            <w:r w:rsidRPr="00914193">
              <w:rPr>
                <w:b/>
                <w:bCs/>
              </w:rPr>
              <w:t>Healthy</w:t>
            </w:r>
            <w:proofErr w:type="spellEnd"/>
            <w:r w:rsidRPr="00914193">
              <w:rPr>
                <w:b/>
                <w:bCs/>
              </w:rPr>
              <w:t xml:space="preserve"> controls (%)</w:t>
            </w:r>
          </w:p>
        </w:tc>
        <w:tc>
          <w:tcPr>
            <w:tcW w:w="0" w:type="auto"/>
            <w:vAlign w:val="center"/>
            <w:hideMark/>
          </w:tcPr>
          <w:p w14:paraId="6C049ACA" w14:textId="77777777" w:rsidR="00914193" w:rsidRPr="00914193" w:rsidRDefault="00914193" w:rsidP="00914193">
            <w:pPr>
              <w:spacing w:line="360" w:lineRule="auto"/>
              <w:jc w:val="both"/>
              <w:rPr>
                <w:b/>
                <w:bCs/>
              </w:rPr>
            </w:pPr>
            <w:proofErr w:type="spellStart"/>
            <w:r w:rsidRPr="00914193">
              <w:rPr>
                <w:b/>
                <w:bCs/>
              </w:rPr>
              <w:t>Endometriosis</w:t>
            </w:r>
            <w:proofErr w:type="spellEnd"/>
            <w:r w:rsidRPr="00914193">
              <w:rPr>
                <w:b/>
                <w:bCs/>
              </w:rPr>
              <w:t xml:space="preserve"> </w:t>
            </w:r>
            <w:proofErr w:type="spellStart"/>
            <w:r w:rsidRPr="00914193">
              <w:rPr>
                <w:b/>
                <w:bCs/>
              </w:rPr>
              <w:t>patients</w:t>
            </w:r>
            <w:proofErr w:type="spellEnd"/>
            <w:r w:rsidRPr="00914193">
              <w:rPr>
                <w:b/>
                <w:bCs/>
              </w:rPr>
              <w:t xml:space="preserve"> (%)</w:t>
            </w:r>
          </w:p>
        </w:tc>
      </w:tr>
      <w:tr w:rsidR="00914193" w:rsidRPr="00914193" w14:paraId="22282D92" w14:textId="77777777" w:rsidTr="00914193">
        <w:trPr>
          <w:tblCellSpacing w:w="15" w:type="dxa"/>
        </w:trPr>
        <w:tc>
          <w:tcPr>
            <w:tcW w:w="0" w:type="auto"/>
            <w:vAlign w:val="center"/>
            <w:hideMark/>
          </w:tcPr>
          <w:p w14:paraId="7E128D92" w14:textId="77777777" w:rsidR="00914193" w:rsidRPr="00914193" w:rsidRDefault="00914193" w:rsidP="00914193">
            <w:pPr>
              <w:spacing w:line="360" w:lineRule="auto"/>
              <w:jc w:val="both"/>
            </w:pPr>
            <w:proofErr w:type="spellStart"/>
            <w:r w:rsidRPr="00914193">
              <w:rPr>
                <w:b/>
                <w:bCs/>
              </w:rPr>
              <w:t>Saprophytic</w:t>
            </w:r>
            <w:proofErr w:type="spellEnd"/>
            <w:r w:rsidRPr="00914193">
              <w:rPr>
                <w:b/>
                <w:bCs/>
              </w:rPr>
              <w:t xml:space="preserve"> </w:t>
            </w:r>
            <w:proofErr w:type="spellStart"/>
            <w:r w:rsidRPr="00914193">
              <w:rPr>
                <w:b/>
                <w:bCs/>
              </w:rPr>
              <w:t>bacteria</w:t>
            </w:r>
            <w:proofErr w:type="spellEnd"/>
          </w:p>
        </w:tc>
        <w:tc>
          <w:tcPr>
            <w:tcW w:w="0" w:type="auto"/>
            <w:vAlign w:val="center"/>
            <w:hideMark/>
          </w:tcPr>
          <w:p w14:paraId="28CE161F" w14:textId="77777777" w:rsidR="00914193" w:rsidRPr="00914193" w:rsidRDefault="00914193" w:rsidP="00914193">
            <w:pPr>
              <w:spacing w:line="360" w:lineRule="auto"/>
              <w:jc w:val="both"/>
            </w:pPr>
            <w:r w:rsidRPr="00914193">
              <w:rPr>
                <w:b/>
                <w:bCs/>
              </w:rPr>
              <w:t>86.8 ± 8.5</w:t>
            </w:r>
          </w:p>
        </w:tc>
        <w:tc>
          <w:tcPr>
            <w:tcW w:w="0" w:type="auto"/>
            <w:vAlign w:val="center"/>
            <w:hideMark/>
          </w:tcPr>
          <w:p w14:paraId="05337550" w14:textId="77777777" w:rsidR="00914193" w:rsidRPr="00914193" w:rsidRDefault="00914193" w:rsidP="00914193">
            <w:pPr>
              <w:spacing w:line="360" w:lineRule="auto"/>
              <w:jc w:val="both"/>
            </w:pPr>
            <w:r w:rsidRPr="00914193">
              <w:rPr>
                <w:b/>
                <w:bCs/>
              </w:rPr>
              <w:t>72.3 ± 11.6</w:t>
            </w:r>
          </w:p>
        </w:tc>
      </w:tr>
      <w:tr w:rsidR="00914193" w:rsidRPr="00914193" w14:paraId="3606AFCE" w14:textId="77777777" w:rsidTr="00914193">
        <w:trPr>
          <w:tblCellSpacing w:w="15" w:type="dxa"/>
        </w:trPr>
        <w:tc>
          <w:tcPr>
            <w:tcW w:w="0" w:type="auto"/>
            <w:vAlign w:val="center"/>
            <w:hideMark/>
          </w:tcPr>
          <w:p w14:paraId="7A68F3A8" w14:textId="77777777" w:rsidR="00914193" w:rsidRPr="00914193" w:rsidRDefault="00914193" w:rsidP="00914193">
            <w:pPr>
              <w:spacing w:line="360" w:lineRule="auto"/>
              <w:jc w:val="both"/>
            </w:pPr>
            <w:r w:rsidRPr="00914193">
              <w:rPr>
                <w:b/>
                <w:bCs/>
              </w:rPr>
              <w:t xml:space="preserve">Orange </w:t>
            </w:r>
            <w:proofErr w:type="spellStart"/>
            <w:r w:rsidRPr="00914193">
              <w:rPr>
                <w:b/>
                <w:bCs/>
              </w:rPr>
              <w:t>complex</w:t>
            </w:r>
            <w:proofErr w:type="spellEnd"/>
          </w:p>
        </w:tc>
        <w:tc>
          <w:tcPr>
            <w:tcW w:w="0" w:type="auto"/>
            <w:vAlign w:val="center"/>
            <w:hideMark/>
          </w:tcPr>
          <w:p w14:paraId="27586806" w14:textId="77777777" w:rsidR="00914193" w:rsidRPr="00914193" w:rsidRDefault="00914193" w:rsidP="00914193">
            <w:pPr>
              <w:spacing w:line="360" w:lineRule="auto"/>
              <w:jc w:val="both"/>
            </w:pPr>
            <w:r w:rsidRPr="00914193">
              <w:rPr>
                <w:b/>
                <w:bCs/>
              </w:rPr>
              <w:t>13.2 ± 8.5</w:t>
            </w:r>
          </w:p>
        </w:tc>
        <w:tc>
          <w:tcPr>
            <w:tcW w:w="0" w:type="auto"/>
            <w:vAlign w:val="center"/>
            <w:hideMark/>
          </w:tcPr>
          <w:p w14:paraId="059B688D" w14:textId="77777777" w:rsidR="00914193" w:rsidRPr="00914193" w:rsidRDefault="00914193" w:rsidP="00914193">
            <w:pPr>
              <w:spacing w:line="360" w:lineRule="auto"/>
              <w:jc w:val="both"/>
            </w:pPr>
            <w:r w:rsidRPr="00914193">
              <w:rPr>
                <w:b/>
                <w:bCs/>
              </w:rPr>
              <w:t>24.9 ± 10.4</w:t>
            </w:r>
          </w:p>
        </w:tc>
      </w:tr>
      <w:tr w:rsidR="00914193" w:rsidRPr="00914193" w14:paraId="36DCC8EE" w14:textId="77777777" w:rsidTr="00914193">
        <w:trPr>
          <w:tblCellSpacing w:w="15" w:type="dxa"/>
        </w:trPr>
        <w:tc>
          <w:tcPr>
            <w:tcW w:w="0" w:type="auto"/>
            <w:vAlign w:val="center"/>
            <w:hideMark/>
          </w:tcPr>
          <w:p w14:paraId="39934FB9" w14:textId="77777777" w:rsidR="00914193" w:rsidRPr="00914193" w:rsidRDefault="00914193" w:rsidP="00914193">
            <w:pPr>
              <w:spacing w:line="360" w:lineRule="auto"/>
              <w:jc w:val="both"/>
            </w:pPr>
            <w:r w:rsidRPr="00914193">
              <w:rPr>
                <w:b/>
                <w:bCs/>
              </w:rPr>
              <w:t xml:space="preserve">Red </w:t>
            </w:r>
            <w:proofErr w:type="spellStart"/>
            <w:r w:rsidRPr="00914193">
              <w:rPr>
                <w:b/>
                <w:bCs/>
              </w:rPr>
              <w:t>complex</w:t>
            </w:r>
            <w:proofErr w:type="spellEnd"/>
            <w:r w:rsidRPr="00914193">
              <w:rPr>
                <w:b/>
                <w:bCs/>
              </w:rPr>
              <w:t xml:space="preserve"> (</w:t>
            </w:r>
            <w:proofErr w:type="spellStart"/>
            <w:r w:rsidRPr="00914193">
              <w:rPr>
                <w:b/>
                <w:bCs/>
              </w:rPr>
              <w:t>extended</w:t>
            </w:r>
            <w:proofErr w:type="spellEnd"/>
            <w:r w:rsidRPr="00914193">
              <w:rPr>
                <w:b/>
                <w:bCs/>
              </w:rPr>
              <w:t>)</w:t>
            </w:r>
          </w:p>
        </w:tc>
        <w:tc>
          <w:tcPr>
            <w:tcW w:w="0" w:type="auto"/>
            <w:vAlign w:val="center"/>
            <w:hideMark/>
          </w:tcPr>
          <w:p w14:paraId="63663689" w14:textId="77777777" w:rsidR="00914193" w:rsidRPr="00914193" w:rsidRDefault="00914193" w:rsidP="00914193">
            <w:pPr>
              <w:spacing w:line="360" w:lineRule="auto"/>
              <w:jc w:val="both"/>
            </w:pPr>
            <w:r w:rsidRPr="00914193">
              <w:rPr>
                <w:b/>
                <w:bCs/>
              </w:rPr>
              <w:t>0.0 ± 0.0</w:t>
            </w:r>
          </w:p>
        </w:tc>
        <w:tc>
          <w:tcPr>
            <w:tcW w:w="0" w:type="auto"/>
            <w:vAlign w:val="center"/>
            <w:hideMark/>
          </w:tcPr>
          <w:p w14:paraId="634706CD" w14:textId="77777777" w:rsidR="00914193" w:rsidRPr="00914193" w:rsidRDefault="00914193" w:rsidP="00914193">
            <w:pPr>
              <w:spacing w:line="360" w:lineRule="auto"/>
              <w:jc w:val="both"/>
            </w:pPr>
            <w:r w:rsidRPr="00914193">
              <w:rPr>
                <w:b/>
                <w:bCs/>
              </w:rPr>
              <w:t>2.8 ± 6.1</w:t>
            </w:r>
          </w:p>
        </w:tc>
      </w:tr>
    </w:tbl>
    <w:p w14:paraId="1DCDA522" w14:textId="137E5970" w:rsidR="00914193" w:rsidRDefault="00914193" w:rsidP="00914193">
      <w:pPr>
        <w:jc w:val="both"/>
        <w:rPr>
          <w:sz w:val="18"/>
          <w:szCs w:val="18"/>
          <w:lang w:val="en-US"/>
        </w:rPr>
      </w:pPr>
      <w:r w:rsidRPr="00914193">
        <w:rPr>
          <w:b/>
          <w:bCs/>
          <w:sz w:val="18"/>
          <w:szCs w:val="18"/>
          <w:lang w:val="en-US"/>
        </w:rPr>
        <w:t xml:space="preserve">Table </w:t>
      </w:r>
      <w:r w:rsidR="00333EB6">
        <w:rPr>
          <w:b/>
          <w:bCs/>
          <w:sz w:val="18"/>
          <w:szCs w:val="18"/>
          <w:lang w:val="en-US"/>
        </w:rPr>
        <w:t>6</w:t>
      </w:r>
      <w:r w:rsidRPr="00914193">
        <w:rPr>
          <w:b/>
          <w:bCs/>
          <w:sz w:val="18"/>
          <w:szCs w:val="18"/>
          <w:lang w:val="en-US"/>
        </w:rPr>
        <w:t>.</w:t>
      </w:r>
      <w:r w:rsidRPr="00914193">
        <w:rPr>
          <w:lang w:val="en-US"/>
        </w:rPr>
        <w:t xml:space="preserve"> </w:t>
      </w:r>
      <w:r w:rsidRPr="00914193">
        <w:rPr>
          <w:sz w:val="18"/>
          <w:szCs w:val="18"/>
          <w:lang w:val="en-US"/>
        </w:rPr>
        <w:t>Relative distribution of periodontal bacterial complexes in healthy controls and endometriosis patients</w:t>
      </w:r>
      <w:r>
        <w:rPr>
          <w:sz w:val="18"/>
          <w:szCs w:val="18"/>
          <w:lang w:val="en-US"/>
        </w:rPr>
        <w:t>.</w:t>
      </w:r>
    </w:p>
    <w:p w14:paraId="0BB40D75" w14:textId="69E31376" w:rsidR="00914193" w:rsidRPr="00914193" w:rsidRDefault="00914193" w:rsidP="00914193">
      <w:pPr>
        <w:rPr>
          <w:sz w:val="18"/>
          <w:szCs w:val="18"/>
          <w:lang w:val="en-US"/>
        </w:rPr>
      </w:pPr>
      <w:r w:rsidRPr="00914193">
        <w:rPr>
          <w:sz w:val="18"/>
          <w:szCs w:val="18"/>
          <w:lang w:val="en-US"/>
        </w:rPr>
        <w:t>Data are expressed as mean ± SD of relative abundance (%).</w:t>
      </w:r>
      <w:r w:rsidRPr="00914193">
        <w:rPr>
          <w:sz w:val="18"/>
          <w:szCs w:val="18"/>
          <w:lang w:val="en-US"/>
        </w:rPr>
        <w:br/>
        <w:t>Relative distribution was calculated from real-time PCR analysis of subgingival samples.</w:t>
      </w:r>
    </w:p>
    <w:p w14:paraId="4CA0D616" w14:textId="51199215" w:rsidR="00716FC7" w:rsidRPr="00914193" w:rsidRDefault="00716FC7" w:rsidP="00716FC7">
      <w:pPr>
        <w:autoSpaceDE w:val="0"/>
        <w:autoSpaceDN w:val="0"/>
        <w:adjustRightInd w:val="0"/>
        <w:ind w:left="426" w:right="700"/>
        <w:jc w:val="both"/>
        <w:rPr>
          <w:rFonts w:eastAsiaTheme="minorEastAsia"/>
          <w:b/>
          <w:sz w:val="18"/>
          <w:szCs w:val="18"/>
          <w:lang w:val="en-US"/>
        </w:rPr>
      </w:pPr>
      <w:r w:rsidRPr="00914193">
        <w:rPr>
          <w:rFonts w:eastAsiaTheme="minorEastAsia"/>
          <w:b/>
          <w:sz w:val="18"/>
          <w:szCs w:val="18"/>
          <w:lang w:val="en-US"/>
        </w:rPr>
        <w:t xml:space="preserve">   </w:t>
      </w:r>
    </w:p>
    <w:p w14:paraId="6F30BA61"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13B2D623"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434F0096"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60D5B967"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0381AE85"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1B50B0A8"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6C58924B"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6A979A3A"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2D602CF5"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4AB88138"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3CF6AAC5"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10755F3A"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145448A9"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07DD3FA9"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213037CB"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11D8427C"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044F195F" w14:textId="77777777" w:rsidR="00AB30A5" w:rsidRDefault="00AB30A5" w:rsidP="00716FC7">
      <w:pPr>
        <w:autoSpaceDE w:val="0"/>
        <w:autoSpaceDN w:val="0"/>
        <w:adjustRightInd w:val="0"/>
        <w:ind w:left="426" w:right="700"/>
        <w:jc w:val="both"/>
        <w:rPr>
          <w:rFonts w:eastAsiaTheme="minorEastAsia"/>
          <w:b/>
          <w:sz w:val="18"/>
          <w:szCs w:val="18"/>
          <w:lang w:val="en-US"/>
        </w:rPr>
      </w:pPr>
    </w:p>
    <w:p w14:paraId="5141F909" w14:textId="307B4692" w:rsidR="00716FC7" w:rsidRPr="00914193" w:rsidRDefault="00590A24" w:rsidP="00716FC7">
      <w:pPr>
        <w:autoSpaceDE w:val="0"/>
        <w:autoSpaceDN w:val="0"/>
        <w:adjustRightInd w:val="0"/>
        <w:ind w:left="426" w:right="700"/>
        <w:jc w:val="both"/>
        <w:rPr>
          <w:rFonts w:eastAsiaTheme="minorEastAsia"/>
          <w:b/>
          <w:sz w:val="18"/>
          <w:szCs w:val="18"/>
          <w:lang w:val="en-US"/>
        </w:rPr>
      </w:pPr>
      <w:r>
        <w:rPr>
          <w:rFonts w:eastAsiaTheme="minorEastAsia"/>
          <w:b/>
          <w:noProof/>
          <w:sz w:val="18"/>
          <w:szCs w:val="18"/>
          <w:lang w:val="en-US"/>
        </w:rPr>
        <w:lastRenderedPageBreak/>
        <w:drawing>
          <wp:inline distT="0" distB="0" distL="0" distR="0" wp14:anchorId="03497D69" wp14:editId="07C5B379">
            <wp:extent cx="3064343" cy="2019935"/>
            <wp:effectExtent l="0" t="0" r="0" b="0"/>
            <wp:docPr id="394991402" name="Immagine 21" descr="Immagine che contiene testo, schermata,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91402" name="Immagine 21" descr="Immagine che contiene testo, schermata, logo, Carattere&#10;&#10;Descrizione generata automaticamente"/>
                    <pic:cNvPicPr/>
                  </pic:nvPicPr>
                  <pic:blipFill>
                    <a:blip r:embed="rId26"/>
                    <a:stretch>
                      <a:fillRect/>
                    </a:stretch>
                  </pic:blipFill>
                  <pic:spPr>
                    <a:xfrm>
                      <a:off x="0" y="0"/>
                      <a:ext cx="3091857" cy="2038072"/>
                    </a:xfrm>
                    <a:prstGeom prst="rect">
                      <a:avLst/>
                    </a:prstGeom>
                  </pic:spPr>
                </pic:pic>
              </a:graphicData>
            </a:graphic>
          </wp:inline>
        </w:drawing>
      </w:r>
    </w:p>
    <w:p w14:paraId="0CA0BB93" w14:textId="59E5BAA1" w:rsidR="00914193" w:rsidRPr="00914193" w:rsidRDefault="00590A24" w:rsidP="00914193">
      <w:r>
        <w:rPr>
          <w:noProof/>
        </w:rPr>
        <w:drawing>
          <wp:inline distT="0" distB="0" distL="0" distR="0" wp14:anchorId="5D3590AC" wp14:editId="5F669C46">
            <wp:extent cx="3542188" cy="2063115"/>
            <wp:effectExtent l="0" t="0" r="1270" b="0"/>
            <wp:docPr id="1253074054" name="Immagine 22" descr="Immagine che contiene testo, schermat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74054" name="Immagine 22" descr="Immagine che contiene testo, schermata, Carattere, logo&#10;&#10;Descrizione generata automaticamente"/>
                    <pic:cNvPicPr/>
                  </pic:nvPicPr>
                  <pic:blipFill>
                    <a:blip r:embed="rId27"/>
                    <a:stretch>
                      <a:fillRect/>
                    </a:stretch>
                  </pic:blipFill>
                  <pic:spPr>
                    <a:xfrm>
                      <a:off x="0" y="0"/>
                      <a:ext cx="3556523" cy="2071464"/>
                    </a:xfrm>
                    <a:prstGeom prst="rect">
                      <a:avLst/>
                    </a:prstGeom>
                  </pic:spPr>
                </pic:pic>
              </a:graphicData>
            </a:graphic>
          </wp:inline>
        </w:drawing>
      </w:r>
    </w:p>
    <w:p w14:paraId="18B4C1AC" w14:textId="77777777" w:rsidR="00716FC7" w:rsidRDefault="00716FC7" w:rsidP="00716FC7"/>
    <w:p w14:paraId="12FA7F0F" w14:textId="6ED1A94D" w:rsidR="00716FC7" w:rsidRPr="00914193" w:rsidRDefault="00716FC7" w:rsidP="00914193">
      <w:pPr>
        <w:autoSpaceDE w:val="0"/>
        <w:autoSpaceDN w:val="0"/>
        <w:adjustRightInd w:val="0"/>
        <w:rPr>
          <w:rFonts w:eastAsiaTheme="minorEastAsia"/>
          <w:sz w:val="18"/>
          <w:szCs w:val="18"/>
          <w:lang w:val="en-US"/>
        </w:rPr>
      </w:pPr>
      <w:r w:rsidRPr="00914193">
        <w:rPr>
          <w:rFonts w:eastAsiaTheme="minorEastAsia"/>
          <w:b/>
          <w:sz w:val="18"/>
          <w:szCs w:val="18"/>
          <w:lang w:val="en-US"/>
        </w:rPr>
        <w:t>Figur</w:t>
      </w:r>
      <w:r w:rsidR="00914193">
        <w:rPr>
          <w:rFonts w:eastAsiaTheme="minorEastAsia"/>
          <w:b/>
          <w:sz w:val="18"/>
          <w:szCs w:val="18"/>
          <w:lang w:val="en-US"/>
        </w:rPr>
        <w:t xml:space="preserve">e </w:t>
      </w:r>
      <w:r w:rsidR="00333EB6">
        <w:rPr>
          <w:rFonts w:eastAsiaTheme="minorEastAsia"/>
          <w:b/>
          <w:sz w:val="18"/>
          <w:szCs w:val="18"/>
          <w:lang w:val="en-US"/>
        </w:rPr>
        <w:t>13</w:t>
      </w:r>
      <w:r w:rsidR="00EE4819">
        <w:rPr>
          <w:rFonts w:eastAsiaTheme="minorEastAsia"/>
          <w:b/>
          <w:sz w:val="18"/>
          <w:szCs w:val="18"/>
          <w:lang w:val="en-US"/>
        </w:rPr>
        <w:t>.</w:t>
      </w:r>
      <w:r w:rsidR="00914193">
        <w:rPr>
          <w:rFonts w:eastAsiaTheme="minorEastAsia"/>
          <w:b/>
          <w:sz w:val="18"/>
          <w:szCs w:val="18"/>
          <w:lang w:val="en-US"/>
        </w:rPr>
        <w:t xml:space="preserve"> </w:t>
      </w:r>
      <w:r w:rsidR="00914193" w:rsidRPr="009D4E82">
        <w:rPr>
          <w:rFonts w:eastAsiaTheme="minorEastAsia"/>
          <w:b/>
          <w:bCs/>
          <w:sz w:val="18"/>
          <w:szCs w:val="18"/>
          <w:lang w:val="en-US"/>
        </w:rPr>
        <w:t>Relative distribution of periodontal bacterial complexes.</w:t>
      </w:r>
      <w:r w:rsidR="00914193" w:rsidRPr="00914193">
        <w:rPr>
          <w:rFonts w:eastAsiaTheme="minorEastAsia"/>
          <w:sz w:val="18"/>
          <w:szCs w:val="18"/>
          <w:lang w:val="en-US"/>
        </w:rPr>
        <w:br/>
      </w:r>
      <w:r w:rsidR="00914193" w:rsidRPr="00914193">
        <w:rPr>
          <w:rFonts w:eastAsiaTheme="minorEastAsia"/>
          <w:i/>
          <w:iCs/>
          <w:sz w:val="18"/>
          <w:szCs w:val="18"/>
          <w:lang w:val="en-US"/>
        </w:rPr>
        <w:t>(A) Healthy controls. (B) Endometriosis patients.</w:t>
      </w:r>
    </w:p>
    <w:p w14:paraId="2EE918D9" w14:textId="6D079946" w:rsidR="00716FC7" w:rsidRPr="00590A24" w:rsidRDefault="00590A24" w:rsidP="000E611B">
      <w:pPr>
        <w:jc w:val="both"/>
        <w:rPr>
          <w:sz w:val="18"/>
          <w:szCs w:val="18"/>
          <w:lang w:val="en-US"/>
        </w:rPr>
      </w:pPr>
      <w:r w:rsidRPr="00590A24">
        <w:rPr>
          <w:sz w:val="18"/>
          <w:szCs w:val="18"/>
          <w:lang w:val="en-US"/>
        </w:rPr>
        <w:t>(A) Healthy controls exhibited a microbiota predominantly composed of saprophytic bacteria, with a limited representation of orange complex species and no detectable red complex bacteria. (B) Patients with endometriosis showed a shift toward a more dysbiotic microbial profile, characterized by an increased proportion of orange complex bacteria and the presence of red complex species.</w:t>
      </w:r>
    </w:p>
    <w:p w14:paraId="21AD8898" w14:textId="25404AC2" w:rsidR="00716FC7" w:rsidRPr="00590A24" w:rsidRDefault="00716FC7" w:rsidP="00716FC7">
      <w:pPr>
        <w:rPr>
          <w:sz w:val="18"/>
          <w:szCs w:val="18"/>
          <w:lang w:val="en-US"/>
        </w:rPr>
      </w:pPr>
    </w:p>
    <w:p w14:paraId="0CBC6E13" w14:textId="339CEC44" w:rsidR="000E611B" w:rsidRDefault="000E611B">
      <w:pPr>
        <w:rPr>
          <w:lang w:val="en-US"/>
        </w:rPr>
      </w:pPr>
      <w:r>
        <w:rPr>
          <w:lang w:val="en-US"/>
        </w:rPr>
        <w:br w:type="page"/>
      </w:r>
    </w:p>
    <w:p w14:paraId="4BC53073" w14:textId="2E5F0C12" w:rsidR="00C50101" w:rsidRPr="00692004" w:rsidRDefault="00290211" w:rsidP="00FE547B">
      <w:pPr>
        <w:pStyle w:val="Titolo1"/>
        <w:spacing w:line="360" w:lineRule="auto"/>
        <w:jc w:val="center"/>
        <w:rPr>
          <w:sz w:val="36"/>
          <w:szCs w:val="36"/>
          <w:lang w:val="en-US"/>
        </w:rPr>
      </w:pPr>
      <w:bookmarkStart w:id="36" w:name="_Toc219243300"/>
      <w:r w:rsidRPr="00692004">
        <w:rPr>
          <w:sz w:val="36"/>
          <w:szCs w:val="36"/>
          <w:lang w:val="en-US"/>
        </w:rPr>
        <w:lastRenderedPageBreak/>
        <w:t>5</w:t>
      </w:r>
      <w:r w:rsidR="00712F2D" w:rsidRPr="00692004">
        <w:rPr>
          <w:sz w:val="36"/>
          <w:szCs w:val="36"/>
          <w:lang w:val="en-US"/>
        </w:rPr>
        <w:t xml:space="preserve">. </w:t>
      </w:r>
      <w:r w:rsidR="003B62D3" w:rsidRPr="00692004">
        <w:rPr>
          <w:sz w:val="36"/>
          <w:szCs w:val="36"/>
          <w:lang w:val="en-US"/>
        </w:rPr>
        <w:t>DISCUSSION</w:t>
      </w:r>
      <w:r w:rsidRPr="00692004">
        <w:rPr>
          <w:sz w:val="36"/>
          <w:szCs w:val="36"/>
          <w:lang w:val="en-US"/>
        </w:rPr>
        <w:t>S</w:t>
      </w:r>
      <w:bookmarkEnd w:id="36"/>
    </w:p>
    <w:p w14:paraId="01D029A6" w14:textId="77777777" w:rsidR="006A35BB" w:rsidRDefault="006A35BB" w:rsidP="00F713A4">
      <w:pPr>
        <w:spacing w:line="360" w:lineRule="auto"/>
        <w:jc w:val="both"/>
        <w:rPr>
          <w:i/>
          <w:iCs/>
          <w:lang w:val="en-GB"/>
        </w:rPr>
      </w:pPr>
    </w:p>
    <w:p w14:paraId="2039ACF9" w14:textId="77EE08AF" w:rsidR="00A73C1E" w:rsidRPr="0094727F" w:rsidRDefault="00A73C1E" w:rsidP="00F713A4">
      <w:pPr>
        <w:spacing w:line="360" w:lineRule="auto"/>
        <w:jc w:val="both"/>
        <w:rPr>
          <w:i/>
          <w:iCs/>
          <w:lang w:val="en-GB"/>
        </w:rPr>
      </w:pPr>
      <w:r w:rsidRPr="0094727F">
        <w:rPr>
          <w:i/>
          <w:iCs/>
          <w:lang w:val="en-GB"/>
        </w:rPr>
        <w:t xml:space="preserve">Oral environment and systemic diseases: two voices talking each other </w:t>
      </w:r>
    </w:p>
    <w:p w14:paraId="5FAD95BC" w14:textId="77777777" w:rsidR="00A73C1E" w:rsidRPr="00CC0630" w:rsidRDefault="00A73C1E" w:rsidP="00F713A4">
      <w:pPr>
        <w:spacing w:line="360" w:lineRule="auto"/>
        <w:jc w:val="both"/>
        <w:rPr>
          <w:lang w:val="en-GB"/>
        </w:rPr>
      </w:pPr>
      <w:r w:rsidRPr="00CC0630">
        <w:rPr>
          <w:lang w:val="en-GB"/>
        </w:rPr>
        <w:t xml:space="preserve">The present study explored the subgingival microbial profile of women affected by endometriosis using real-time PCR, focusing on both quantitative bacterial load and the relative distribution of periodontal bacterial complexes. The results indicate discernible differences between endometriosis patients and healthy controls, suggesting an association between endometriosis and a shift toward a more </w:t>
      </w:r>
      <w:proofErr w:type="spellStart"/>
      <w:r w:rsidRPr="00CC0630">
        <w:rPr>
          <w:lang w:val="en-GB"/>
        </w:rPr>
        <w:t>dysbiotic</w:t>
      </w:r>
      <w:proofErr w:type="spellEnd"/>
      <w:r w:rsidRPr="00CC0630">
        <w:rPr>
          <w:lang w:val="en-GB"/>
        </w:rPr>
        <w:t xml:space="preserve"> periodontal microbiota.</w:t>
      </w:r>
    </w:p>
    <w:p w14:paraId="21563FDD" w14:textId="76FB758D" w:rsidR="00A73C1E" w:rsidRPr="00CC0630" w:rsidRDefault="00A73C1E" w:rsidP="00F713A4">
      <w:pPr>
        <w:spacing w:line="360" w:lineRule="auto"/>
        <w:jc w:val="both"/>
        <w:rPr>
          <w:lang w:val="en-GB"/>
        </w:rPr>
      </w:pPr>
      <w:r w:rsidRPr="00CC0630">
        <w:rPr>
          <w:lang w:val="en-GB"/>
        </w:rPr>
        <w:t xml:space="preserve">Quantitative PCR findings revealed a higher total bacterial load and an increased detection of periodontal pathogens in the endometriosis group. Bacteria belonging to the orange complex, including </w:t>
      </w:r>
      <w:r w:rsidRPr="00CC0630">
        <w:rPr>
          <w:i/>
          <w:iCs/>
          <w:lang w:val="en-GB"/>
        </w:rPr>
        <w:t xml:space="preserve">P. Intermedia </w:t>
      </w:r>
      <w:r w:rsidRPr="00CC0630">
        <w:rPr>
          <w:lang w:val="en-GB"/>
        </w:rPr>
        <w:t xml:space="preserve">and </w:t>
      </w:r>
      <w:r w:rsidRPr="00CC0630">
        <w:rPr>
          <w:i/>
          <w:iCs/>
          <w:lang w:val="en-GB"/>
        </w:rPr>
        <w:t xml:space="preserve">F. </w:t>
      </w:r>
      <w:proofErr w:type="spellStart"/>
      <w:r w:rsidRPr="00CC0630">
        <w:rPr>
          <w:i/>
          <w:iCs/>
          <w:lang w:val="en-GB"/>
        </w:rPr>
        <w:t>Nucleatum</w:t>
      </w:r>
      <w:proofErr w:type="spellEnd"/>
      <w:r w:rsidRPr="00CC0630">
        <w:rPr>
          <w:lang w:val="en-GB"/>
        </w:rPr>
        <w:t>, accounted for a greater proportion of the microbial burden compared with controls. These species are recognized as key contributors to periodontal inflammation and are often implicated in the transition from microbial homeostasis to dysbiosis within the subgingival niche</w:t>
      </w:r>
      <w:r w:rsidR="00C7233E">
        <w:rPr>
          <w:vertAlign w:val="superscript"/>
          <w:lang w:val="en-GB"/>
        </w:rPr>
        <w:t>34</w:t>
      </w:r>
      <w:r w:rsidR="00C7233E">
        <w:rPr>
          <w:lang w:val="en-GB"/>
        </w:rPr>
        <w:t>.</w:t>
      </w:r>
    </w:p>
    <w:p w14:paraId="31162A8C" w14:textId="65DBBC00" w:rsidR="000E611B" w:rsidRPr="000E611B" w:rsidRDefault="00A73C1E" w:rsidP="00F713A4">
      <w:pPr>
        <w:spacing w:line="360" w:lineRule="auto"/>
        <w:jc w:val="both"/>
        <w:rPr>
          <w:highlight w:val="cyan"/>
          <w:vertAlign w:val="superscript"/>
          <w:lang w:val="en-GB"/>
        </w:rPr>
      </w:pPr>
      <w:r>
        <w:rPr>
          <w:lang w:val="en-GB"/>
        </w:rPr>
        <w:t>The a</w:t>
      </w:r>
      <w:r w:rsidRPr="00CC0630">
        <w:rPr>
          <w:lang w:val="en-GB"/>
        </w:rPr>
        <w:t>nalysis of the relative distribution of bacterial complexes further supported these observations. Healthy controls exhibited a microbiota largely dominated by saprophytic species, whereas patients with endometriosis showed an enrichment of orange complex bacteria and the presence of red complex species. This microbial pattern is clinically relevant, as the predominance of orange and red complex bacteria has been associated with increased inflammatory activity and periodontal tissue susceptibility, even in individuals without overt clinical signs of periodontitis</w:t>
      </w:r>
      <w:r w:rsidR="00C7233E" w:rsidRPr="00C7233E">
        <w:rPr>
          <w:rStyle w:val="Rimandonotadichiusura"/>
          <w:lang w:val="en-GB"/>
        </w:rPr>
        <w:endnoteReference w:id="262"/>
      </w:r>
      <w:r w:rsidR="000E611B">
        <w:rPr>
          <w:lang w:val="en-GB"/>
        </w:rPr>
        <w:t xml:space="preserve"> </w:t>
      </w:r>
      <w:r w:rsidR="00C7233E" w:rsidRPr="00C7233E">
        <w:rPr>
          <w:vertAlign w:val="superscript"/>
          <w:lang w:val="en-GB"/>
        </w:rPr>
        <w:t>39</w:t>
      </w:r>
      <w:r w:rsidR="000E611B">
        <w:rPr>
          <w:lang w:val="en-GB"/>
        </w:rPr>
        <w:t>.</w:t>
      </w:r>
    </w:p>
    <w:p w14:paraId="263F9E46" w14:textId="1430D989" w:rsidR="00A73C1E" w:rsidRPr="00CC0630" w:rsidRDefault="00A73C1E" w:rsidP="00F713A4">
      <w:pPr>
        <w:spacing w:line="360" w:lineRule="auto"/>
        <w:jc w:val="both"/>
        <w:rPr>
          <w:lang w:val="en-GB"/>
        </w:rPr>
      </w:pPr>
      <w:r w:rsidRPr="00CC0630">
        <w:rPr>
          <w:lang w:val="en-GB"/>
        </w:rPr>
        <w:t xml:space="preserve">The microbial alterations observed in endometriosis patients may be explained by the systemic inflammatory and hormonal environment characteristic of the disease. Endometriosis is a chronic </w:t>
      </w:r>
      <w:proofErr w:type="spellStart"/>
      <w:r w:rsidRPr="00CC0630">
        <w:rPr>
          <w:lang w:val="en-GB"/>
        </w:rPr>
        <w:t>estrogen</w:t>
      </w:r>
      <w:proofErr w:type="spellEnd"/>
      <w:r w:rsidRPr="00CC0630">
        <w:rPr>
          <w:lang w:val="en-GB"/>
        </w:rPr>
        <w:t>-dependent condition associated with immune dysregulation, oxidative stress, and elevated circulating levels of pro-inflammatory cytokines</w:t>
      </w:r>
      <w:r w:rsidR="00C7233E">
        <w:rPr>
          <w:vertAlign w:val="superscript"/>
          <w:lang w:val="en-GB"/>
        </w:rPr>
        <w:t>183220</w:t>
      </w:r>
      <w:r w:rsidR="00C7233E">
        <w:rPr>
          <w:lang w:val="en-GB"/>
        </w:rPr>
        <w:t>.</w:t>
      </w:r>
      <w:r w:rsidRPr="00CC0630">
        <w:rPr>
          <w:lang w:val="en-GB"/>
        </w:rPr>
        <w:t>These systemic factors may influence the oral ecosystem by modifying host immune responses, salivary composition, and epithelial barrier integrity, thereby promoting the colonization and persistence of periodontal pathogens</w:t>
      </w:r>
      <w:r w:rsidR="00C7233E">
        <w:rPr>
          <w:vertAlign w:val="superscript"/>
          <w:lang w:val="en-GB"/>
        </w:rPr>
        <w:t>150</w:t>
      </w:r>
      <w:r w:rsidR="00C7233E">
        <w:rPr>
          <w:lang w:val="en-GB"/>
        </w:rPr>
        <w:t>.</w:t>
      </w:r>
    </w:p>
    <w:p w14:paraId="71A7BA32" w14:textId="77777777" w:rsidR="00A73C1E" w:rsidRPr="00CC0630" w:rsidRDefault="00A73C1E" w:rsidP="00F713A4">
      <w:pPr>
        <w:spacing w:line="360" w:lineRule="auto"/>
        <w:jc w:val="both"/>
        <w:rPr>
          <w:lang w:val="en-GB"/>
        </w:rPr>
      </w:pPr>
      <w:r>
        <w:rPr>
          <w:lang w:val="en-GB"/>
        </w:rPr>
        <w:t xml:space="preserve">It appears clear the </w:t>
      </w:r>
      <w:r w:rsidRPr="00CC0630">
        <w:rPr>
          <w:lang w:val="en-GB"/>
        </w:rPr>
        <w:t xml:space="preserve">oral cavity </w:t>
      </w:r>
      <w:r>
        <w:rPr>
          <w:lang w:val="en-GB"/>
        </w:rPr>
        <w:t xml:space="preserve">environment </w:t>
      </w:r>
      <w:r w:rsidRPr="00CC0630">
        <w:rPr>
          <w:lang w:val="en-GB"/>
        </w:rPr>
        <w:t xml:space="preserve">may reflect systemic inflammatory disorders, supporting the </w:t>
      </w:r>
      <w:r>
        <w:rPr>
          <w:lang w:val="en-GB"/>
        </w:rPr>
        <w:t xml:space="preserve">idea </w:t>
      </w:r>
      <w:r w:rsidRPr="00CC0630">
        <w:rPr>
          <w:lang w:val="en-GB"/>
        </w:rPr>
        <w:t>of oral biomarkers as indicators of systemic disease.</w:t>
      </w:r>
    </w:p>
    <w:p w14:paraId="4A9EF70A" w14:textId="307B5A9F" w:rsidR="00A73C1E" w:rsidRPr="00CC0630" w:rsidRDefault="00A73C1E" w:rsidP="00F713A4">
      <w:pPr>
        <w:spacing w:line="360" w:lineRule="auto"/>
        <w:jc w:val="both"/>
        <w:rPr>
          <w:lang w:val="en-GB"/>
        </w:rPr>
      </w:pPr>
      <w:r w:rsidRPr="00257F57">
        <w:rPr>
          <w:lang w:val="en-GB"/>
        </w:rPr>
        <w:lastRenderedPageBreak/>
        <w:t>The absence of clinical periodontal disease limits the ability to establish a direct link between microbial alterations and tissue destruction; however, it also supports the hypothesis that endometriosis-associated dysbiosis may represent an early, preclinical microbial shift</w:t>
      </w:r>
      <w:r w:rsidR="00246A2A">
        <w:rPr>
          <w:lang w:val="en-GB"/>
        </w:rPr>
        <w:t xml:space="preserve"> </w:t>
      </w:r>
      <w:r w:rsidR="00246A2A">
        <w:rPr>
          <w:rStyle w:val="Rimandonotadichiusura"/>
          <w:lang w:val="en-GB"/>
        </w:rPr>
        <w:endnoteReference w:id="263"/>
      </w:r>
      <w:r w:rsidR="00246A2A">
        <w:rPr>
          <w:lang w:val="en-GB"/>
        </w:rPr>
        <w:t>.</w:t>
      </w:r>
    </w:p>
    <w:p w14:paraId="3948D229" w14:textId="381D8231" w:rsidR="00F713A4" w:rsidRDefault="00A73C1E" w:rsidP="00F713A4">
      <w:pPr>
        <w:spacing w:line="360" w:lineRule="auto"/>
        <w:jc w:val="both"/>
        <w:rPr>
          <w:lang w:val="en-GB"/>
        </w:rPr>
      </w:pPr>
      <w:r w:rsidRPr="00CC0630">
        <w:rPr>
          <w:lang w:val="en-GB"/>
        </w:rPr>
        <w:t>Similar observations have been reported in other systemic inflammatory conditions, reinforcing the hypothesis that subclinical microbial changes may represent an early stage of periodontal involvement</w:t>
      </w:r>
      <w:r w:rsidR="00246A2A">
        <w:rPr>
          <w:rStyle w:val="Rimandonotadichiusura"/>
          <w:lang w:val="en-GB"/>
        </w:rPr>
        <w:endnoteReference w:id="264"/>
      </w:r>
      <w:r w:rsidR="00246A2A">
        <w:rPr>
          <w:lang w:val="en-GB"/>
        </w:rPr>
        <w:t>.</w:t>
      </w:r>
    </w:p>
    <w:p w14:paraId="4EFADD81" w14:textId="77777777" w:rsidR="00A73C1E" w:rsidRDefault="00A73C1E" w:rsidP="00F713A4">
      <w:pPr>
        <w:spacing w:line="360" w:lineRule="auto"/>
        <w:jc w:val="both"/>
        <w:rPr>
          <w:lang w:val="en-GB"/>
        </w:rPr>
      </w:pPr>
      <w:r w:rsidRPr="00257F57">
        <w:rPr>
          <w:lang w:val="en-GB"/>
        </w:rPr>
        <w:t xml:space="preserve">Although the difference in </w:t>
      </w:r>
      <w:r w:rsidRPr="002C0748">
        <w:rPr>
          <w:i/>
          <w:iCs/>
          <w:lang w:val="en-GB"/>
        </w:rPr>
        <w:t xml:space="preserve">F. </w:t>
      </w:r>
      <w:proofErr w:type="spellStart"/>
      <w:r w:rsidRPr="002C0748">
        <w:rPr>
          <w:i/>
          <w:iCs/>
          <w:lang w:val="en-GB"/>
        </w:rPr>
        <w:t>nucleatum</w:t>
      </w:r>
      <w:proofErr w:type="spellEnd"/>
      <w:r w:rsidRPr="00257F57">
        <w:rPr>
          <w:lang w:val="en-GB"/>
        </w:rPr>
        <w:t xml:space="preserve"> abundance did not reach statistical significance, the observed trend suggests that the lack of significance may be related to the limited sample size rather than the absence of a biological effect.</w:t>
      </w:r>
    </w:p>
    <w:p w14:paraId="597672EC" w14:textId="39C835A6" w:rsidR="00A73C1E" w:rsidRPr="004224D3" w:rsidRDefault="00A73C1E" w:rsidP="00F713A4">
      <w:pPr>
        <w:spacing w:line="360" w:lineRule="auto"/>
        <w:jc w:val="both"/>
        <w:rPr>
          <w:i/>
          <w:iCs/>
          <w:lang w:val="en-GB"/>
        </w:rPr>
      </w:pPr>
      <w:r w:rsidRPr="00F3691B">
        <w:rPr>
          <w:i/>
          <w:iCs/>
          <w:lang w:val="en-GB"/>
        </w:rPr>
        <w:t>F.</w:t>
      </w:r>
      <w:r w:rsidR="000E611B">
        <w:rPr>
          <w:i/>
          <w:iCs/>
          <w:lang w:val="en-GB"/>
        </w:rPr>
        <w:t xml:space="preserve"> </w:t>
      </w:r>
      <w:proofErr w:type="spellStart"/>
      <w:r w:rsidRPr="00F3691B">
        <w:rPr>
          <w:i/>
          <w:iCs/>
          <w:lang w:val="en-GB"/>
        </w:rPr>
        <w:t>nucleatum</w:t>
      </w:r>
      <w:proofErr w:type="spellEnd"/>
      <w:r w:rsidRPr="00F3691B">
        <w:rPr>
          <w:i/>
          <w:iCs/>
          <w:lang w:val="en-GB"/>
        </w:rPr>
        <w:t>: an oral biomarker in a disease modifier of the oral microbial ecosystem</w:t>
      </w:r>
    </w:p>
    <w:p w14:paraId="54FE3ABF" w14:textId="4A89F2A7" w:rsidR="00F713A4" w:rsidRPr="00F713A4" w:rsidRDefault="00F713A4" w:rsidP="00F713A4">
      <w:pPr>
        <w:spacing w:line="360" w:lineRule="auto"/>
        <w:jc w:val="both"/>
        <w:rPr>
          <w:lang w:val="en-US"/>
        </w:rPr>
      </w:pPr>
      <w:r w:rsidRPr="00F713A4">
        <w:rPr>
          <w:i/>
          <w:iCs/>
          <w:lang w:val="en-US"/>
        </w:rPr>
        <w:t>Fusobacterium nucleatum</w:t>
      </w:r>
      <w:r w:rsidRPr="00F713A4">
        <w:rPr>
          <w:lang w:val="en-US"/>
        </w:rPr>
        <w:t xml:space="preserve"> is a Gram-negative anaerobic bacterium with well-recognized pro-inflammatory properties and the ability to substantially influence host immune responses. At the molecular level, structural components of the bacterial cell wall</w:t>
      </w:r>
      <w:r w:rsidR="004224D3">
        <w:rPr>
          <w:lang w:val="en-US"/>
        </w:rPr>
        <w:t xml:space="preserve">, </w:t>
      </w:r>
      <w:r w:rsidRPr="00F713A4">
        <w:rPr>
          <w:lang w:val="en-US"/>
        </w:rPr>
        <w:t>particularly lipopolysaccharide (LPS)</w:t>
      </w:r>
      <w:r w:rsidR="004224D3">
        <w:rPr>
          <w:lang w:val="en-US"/>
        </w:rPr>
        <w:t xml:space="preserve">, </w:t>
      </w:r>
      <w:r w:rsidRPr="00F713A4">
        <w:rPr>
          <w:lang w:val="en-US"/>
        </w:rPr>
        <w:t>interact with Toll-like receptors, mainly TLR4, triggering innate inflammatory signaling pathways. This activation results in the release of pro-inflammatory cytokines, increased oxidative stress, and impairment of inflammation-resolution mechanisms</w:t>
      </w:r>
      <w:r w:rsidR="00246A2A">
        <w:rPr>
          <w:vertAlign w:val="superscript"/>
          <w:lang w:val="en-US"/>
        </w:rPr>
        <w:t>183</w:t>
      </w:r>
      <w:r w:rsidR="00246A2A">
        <w:rPr>
          <w:lang w:val="en-US"/>
        </w:rPr>
        <w:t>.</w:t>
      </w:r>
      <w:r w:rsidRPr="00F713A4">
        <w:rPr>
          <w:lang w:val="en-US"/>
        </w:rPr>
        <w:t xml:space="preserve"> </w:t>
      </w:r>
    </w:p>
    <w:p w14:paraId="571658E0" w14:textId="6E32AE2F" w:rsidR="00F713A4" w:rsidRPr="00246A2A" w:rsidRDefault="00F713A4" w:rsidP="00F713A4">
      <w:pPr>
        <w:spacing w:line="360" w:lineRule="auto"/>
        <w:jc w:val="both"/>
        <w:rPr>
          <w:lang w:val="en-US"/>
        </w:rPr>
      </w:pPr>
      <w:r w:rsidRPr="00F713A4">
        <w:rPr>
          <w:lang w:val="en-US"/>
        </w:rPr>
        <w:t xml:space="preserve">Through these mechanisms, </w:t>
      </w:r>
      <w:r w:rsidRPr="00F713A4">
        <w:rPr>
          <w:i/>
          <w:iCs/>
          <w:lang w:val="en-US"/>
        </w:rPr>
        <w:t>F. nucleatum</w:t>
      </w:r>
      <w:r w:rsidRPr="00F713A4">
        <w:rPr>
          <w:lang w:val="en-US"/>
        </w:rPr>
        <w:t xml:space="preserve"> may contribute to the maintenance of a persistent inflammatory state, acting as a potential amplifier of systemic inflammation. This aspect is particularly relevant in the context of endometriosis, a chronic condition characterized by immune dysregulation and elevated circulating levels of inflammatory mediators, which play a central role in disease pathophysiology</w:t>
      </w:r>
      <w:r w:rsidR="00246A2A">
        <w:rPr>
          <w:vertAlign w:val="superscript"/>
          <w:lang w:val="en-US"/>
        </w:rPr>
        <w:t>183</w:t>
      </w:r>
      <w:r w:rsidR="00246A2A">
        <w:rPr>
          <w:lang w:val="en-US"/>
        </w:rPr>
        <w:t>.</w:t>
      </w:r>
    </w:p>
    <w:p w14:paraId="0F5C64DE" w14:textId="77777777" w:rsidR="00F713A4" w:rsidRPr="00F713A4" w:rsidRDefault="00F713A4" w:rsidP="00F713A4">
      <w:pPr>
        <w:spacing w:line="360" w:lineRule="auto"/>
        <w:jc w:val="both"/>
        <w:rPr>
          <w:i/>
          <w:iCs/>
          <w:lang w:val="en-US"/>
        </w:rPr>
      </w:pPr>
      <w:r w:rsidRPr="00F713A4">
        <w:rPr>
          <w:i/>
          <w:iCs/>
          <w:lang w:val="en-US"/>
        </w:rPr>
        <w:t>Bacterial translocation</w:t>
      </w:r>
    </w:p>
    <w:p w14:paraId="669643CE" w14:textId="38A24416" w:rsidR="00F713A4" w:rsidRPr="00F713A4" w:rsidRDefault="00F713A4" w:rsidP="00F713A4">
      <w:pPr>
        <w:spacing w:line="360" w:lineRule="auto"/>
        <w:jc w:val="both"/>
        <w:rPr>
          <w:lang w:val="en-US"/>
        </w:rPr>
      </w:pPr>
      <w:r w:rsidRPr="00F713A4">
        <w:rPr>
          <w:lang w:val="en-US"/>
        </w:rPr>
        <w:t xml:space="preserve">A distinctive feature of </w:t>
      </w:r>
      <w:r w:rsidRPr="00F713A4">
        <w:rPr>
          <w:i/>
          <w:iCs/>
          <w:lang w:val="en-US"/>
        </w:rPr>
        <w:t>F. nucleatum</w:t>
      </w:r>
      <w:r w:rsidRPr="00F713A4">
        <w:rPr>
          <w:lang w:val="en-US"/>
        </w:rPr>
        <w:t xml:space="preserve"> is its documented capacity for hematogenous dissemination from the oral cavity to extra-oral sites. Clinical observations and experimental studies have demonstrated that this microorganism can reach the placenta and amniotic fluid originating from the oral microbiota, overcoming epithelial and vascular barriers</w:t>
      </w:r>
      <w:r w:rsidR="00246A2A">
        <w:rPr>
          <w:rStyle w:val="Rimandonotadichiusura"/>
          <w:lang w:val="en-US"/>
        </w:rPr>
        <w:endnoteReference w:id="265"/>
      </w:r>
      <w:r w:rsidR="00246A2A">
        <w:rPr>
          <w:lang w:val="en-US"/>
        </w:rPr>
        <w:t>.</w:t>
      </w:r>
      <w:r w:rsidRPr="00F713A4">
        <w:rPr>
          <w:lang w:val="en-US"/>
        </w:rPr>
        <w:t xml:space="preserve"> </w:t>
      </w:r>
    </w:p>
    <w:p w14:paraId="2DB427A7" w14:textId="1F14D08E" w:rsidR="00F713A4" w:rsidRPr="00F713A4" w:rsidRDefault="00F713A4" w:rsidP="00F713A4">
      <w:pPr>
        <w:spacing w:line="360" w:lineRule="auto"/>
        <w:jc w:val="both"/>
        <w:rPr>
          <w:lang w:val="en-US"/>
        </w:rPr>
      </w:pPr>
      <w:r w:rsidRPr="00F713A4">
        <w:rPr>
          <w:lang w:val="en-US"/>
        </w:rPr>
        <w:t xml:space="preserve">In murine models, intravenous inoculation of </w:t>
      </w:r>
      <w:r w:rsidRPr="00F713A4">
        <w:rPr>
          <w:i/>
          <w:iCs/>
          <w:lang w:val="en-US"/>
        </w:rPr>
        <w:t>F. nucleatum</w:t>
      </w:r>
      <w:r w:rsidRPr="00F713A4">
        <w:rPr>
          <w:lang w:val="en-US"/>
        </w:rPr>
        <w:t xml:space="preserve"> during pregnancy leads to infection localized to the feto-placental unit and subsequent fetal loss. Importantly, the absence of TLR4 markedly reduces fetal mortality, indicating that host-mediated </w:t>
      </w:r>
      <w:r w:rsidRPr="00F713A4">
        <w:rPr>
          <w:lang w:val="en-US"/>
        </w:rPr>
        <w:lastRenderedPageBreak/>
        <w:t>inflammatory responses, rather than bacterial presence alone, are the primary drivers of tissue damage</w:t>
      </w:r>
      <w:r w:rsidR="00246A2A">
        <w:rPr>
          <w:rStyle w:val="Rimandonotadichiusura"/>
          <w:lang w:val="en-US"/>
        </w:rPr>
        <w:endnoteReference w:id="266"/>
      </w:r>
      <w:r w:rsidR="00246A2A">
        <w:rPr>
          <w:lang w:val="en-US"/>
        </w:rPr>
        <w:t>.</w:t>
      </w:r>
    </w:p>
    <w:p w14:paraId="12DEF1B9" w14:textId="2DC4E3A5" w:rsidR="00F713A4" w:rsidRPr="00F713A4" w:rsidRDefault="00F713A4" w:rsidP="00F713A4">
      <w:pPr>
        <w:spacing w:line="360" w:lineRule="auto"/>
        <w:jc w:val="both"/>
        <w:rPr>
          <w:lang w:val="en-US"/>
        </w:rPr>
      </w:pPr>
      <w:r w:rsidRPr="00F713A4">
        <w:rPr>
          <w:lang w:val="en-US"/>
        </w:rPr>
        <w:t xml:space="preserve">Collectively, these findings support the hypothesis that </w:t>
      </w:r>
      <w:r w:rsidRPr="00F713A4">
        <w:rPr>
          <w:i/>
          <w:iCs/>
          <w:lang w:val="en-US"/>
        </w:rPr>
        <w:t>F. nucleatum</w:t>
      </w:r>
      <w:r w:rsidRPr="00F713A4">
        <w:rPr>
          <w:lang w:val="en-US"/>
        </w:rPr>
        <w:t xml:space="preserve"> may function as a microbial “messenger” between the oral cavity and distant anatomical sites, contributing to the systemic spread of inflammation.</w:t>
      </w:r>
      <w:r w:rsidR="00C35191">
        <w:rPr>
          <w:lang w:val="en-US"/>
        </w:rPr>
        <w:t xml:space="preserve"> </w:t>
      </w:r>
    </w:p>
    <w:p w14:paraId="5D90EB6F" w14:textId="77777777" w:rsidR="00C35191" w:rsidRPr="00C35191" w:rsidRDefault="00C35191" w:rsidP="00C35191">
      <w:pPr>
        <w:spacing w:line="360" w:lineRule="auto"/>
        <w:jc w:val="both"/>
        <w:rPr>
          <w:lang w:val="en-US"/>
        </w:rPr>
      </w:pPr>
      <w:r w:rsidRPr="00C35191">
        <w:rPr>
          <w:lang w:val="en-US"/>
        </w:rPr>
        <w:t>In recent years, this concept has been further expanded by a hypothetical model proposing that microbial and inflammatory signals may act very early in life, potentially influencing susceptibility to endometriosis later in adulthood. García-</w:t>
      </w:r>
      <w:proofErr w:type="spellStart"/>
      <w:r w:rsidRPr="00C35191">
        <w:rPr>
          <w:lang w:val="en-US"/>
        </w:rPr>
        <w:t>Peñarrubia</w:t>
      </w:r>
      <w:proofErr w:type="spellEnd"/>
      <w:r w:rsidRPr="00C35191">
        <w:rPr>
          <w:lang w:val="en-US"/>
        </w:rPr>
        <w:t xml:space="preserve"> et al. suggested that alterations of the maternal gut–genital microbiota, together with subclinical infections, may contribute to immune programming during prenatal and perinatal life, thereby creating a permissive environment for endometriosis development (</w:t>
      </w:r>
      <w:r w:rsidRPr="00C35191">
        <w:rPr>
          <w:i/>
          <w:iCs/>
          <w:lang w:val="en-US"/>
        </w:rPr>
        <w:t>Hum Reprod Update</w:t>
      </w:r>
      <w:r w:rsidRPr="00C35191">
        <w:rPr>
          <w:lang w:val="en-US"/>
        </w:rPr>
        <w:t>. 2020).</w:t>
      </w:r>
    </w:p>
    <w:p w14:paraId="7EDB60DA" w14:textId="76B0FD90" w:rsidR="00CE436C" w:rsidRDefault="00C35191" w:rsidP="00C35191">
      <w:pPr>
        <w:spacing w:line="360" w:lineRule="auto"/>
        <w:jc w:val="both"/>
        <w:rPr>
          <w:lang w:val="en-US"/>
        </w:rPr>
      </w:pPr>
      <w:r w:rsidRPr="00C35191">
        <w:rPr>
          <w:lang w:val="en-US"/>
        </w:rPr>
        <w:t>According to this model, bacteria originating from the oral cavity may survive transit through the gastrointestinal tract, colonize the intestinal microbiota, and interact with mucosal immune barriers. From this perspective, vertical microbial transmission may occur during vaginal delivery, particularly given the anatomical proximity between the vaginal and anal canals, allowing maternal microorganisms to colonize the neonatal microbiome. These early-life microbial exposures may persist as part of the offspring’s microbiota and contribute to long-term immune modulation, potentially increasing susceptibility to chronic inflammatory conditions such as endometriosis</w:t>
      </w:r>
      <w:r w:rsidR="00246A2A">
        <w:rPr>
          <w:rStyle w:val="Rimandonotadichiusura"/>
          <w:lang w:val="en-US"/>
        </w:rPr>
        <w:endnoteReference w:id="267"/>
      </w:r>
      <w:r w:rsidR="00246A2A">
        <w:rPr>
          <w:lang w:val="en-US"/>
        </w:rPr>
        <w:t>.</w:t>
      </w:r>
    </w:p>
    <w:p w14:paraId="2FD3CBE3" w14:textId="4B559336" w:rsidR="00F713A4" w:rsidRPr="00F713A4" w:rsidRDefault="00F713A4" w:rsidP="00F713A4">
      <w:pPr>
        <w:spacing w:line="360" w:lineRule="auto"/>
        <w:jc w:val="both"/>
        <w:rPr>
          <w:lang w:val="en-US"/>
        </w:rPr>
      </w:pPr>
      <w:r w:rsidRPr="00F713A4">
        <w:rPr>
          <w:lang w:val="en-US"/>
        </w:rPr>
        <w:t xml:space="preserve">In recent years, </w:t>
      </w:r>
      <w:r w:rsidRPr="00F713A4">
        <w:rPr>
          <w:i/>
          <w:iCs/>
          <w:lang w:val="en-US"/>
        </w:rPr>
        <w:t>Fusobacterium nucleatum</w:t>
      </w:r>
      <w:r w:rsidRPr="00F713A4">
        <w:rPr>
          <w:lang w:val="en-US"/>
        </w:rPr>
        <w:t xml:space="preserve"> has been proposed as a potential co-factor in the development of certain gynecological disorders. A translational study conducted in a Japanese cohort reported the detection of </w:t>
      </w:r>
      <w:r w:rsidRPr="00F713A4">
        <w:rPr>
          <w:i/>
          <w:iCs/>
          <w:lang w:val="en-US"/>
        </w:rPr>
        <w:t>Fusobacterium</w:t>
      </w:r>
      <w:r w:rsidRPr="00F713A4">
        <w:rPr>
          <w:lang w:val="en-US"/>
        </w:rPr>
        <w:t xml:space="preserve"> DNA or viable bacteria in the endometrium or endometriotic lesions in approximately 60–65% of women with endometriosis, compared with less than 10% of control subjects, suggesting a possible role in lesion implantation and persistence</w:t>
      </w:r>
      <w:r w:rsidR="00246A2A">
        <w:rPr>
          <w:lang w:val="en-US"/>
        </w:rPr>
        <w:t>.</w:t>
      </w:r>
    </w:p>
    <w:p w14:paraId="6B41901D" w14:textId="55381E56" w:rsidR="00F713A4" w:rsidRPr="00F713A4" w:rsidRDefault="00F713A4" w:rsidP="00F713A4">
      <w:pPr>
        <w:spacing w:line="360" w:lineRule="auto"/>
        <w:jc w:val="both"/>
        <w:rPr>
          <w:lang w:val="en-US"/>
        </w:rPr>
      </w:pPr>
      <w:r w:rsidRPr="00F713A4">
        <w:rPr>
          <w:lang w:val="en-US"/>
        </w:rPr>
        <w:t xml:space="preserve">However, subsequent investigations have failed to consistently demonstrate a significant presence of </w:t>
      </w:r>
      <w:r w:rsidRPr="00F713A4">
        <w:rPr>
          <w:i/>
          <w:iCs/>
          <w:lang w:val="en-US"/>
        </w:rPr>
        <w:t>F. nucleatum</w:t>
      </w:r>
      <w:r w:rsidRPr="00F713A4">
        <w:rPr>
          <w:lang w:val="en-US"/>
        </w:rPr>
        <w:t xml:space="preserve"> in eutopic endometrial tissue across all analyzed cohorts, indicating that this association may be restricted to specific patient subgroups rather than being universally applicable to all individuals with endometriosis</w:t>
      </w:r>
      <w:r w:rsidR="00246A2A">
        <w:rPr>
          <w:lang w:val="en-US"/>
        </w:rPr>
        <w:t>.</w:t>
      </w:r>
    </w:p>
    <w:p w14:paraId="4D42A1C5" w14:textId="1908E0EE" w:rsidR="00F713A4" w:rsidRPr="00F713A4" w:rsidRDefault="00F713A4" w:rsidP="00F713A4">
      <w:pPr>
        <w:spacing w:line="360" w:lineRule="auto"/>
        <w:jc w:val="both"/>
        <w:rPr>
          <w:lang w:val="en-US"/>
        </w:rPr>
      </w:pPr>
      <w:r w:rsidRPr="00F713A4">
        <w:rPr>
          <w:lang w:val="en-US"/>
        </w:rPr>
        <w:t xml:space="preserve">Beyond endometriosis, alterations of the female reproductive tract microbiota characterized by an increased abundance of </w:t>
      </w:r>
      <w:r w:rsidRPr="00F713A4">
        <w:rPr>
          <w:i/>
          <w:iCs/>
          <w:lang w:val="en-US"/>
        </w:rPr>
        <w:t>Fusobacterium</w:t>
      </w:r>
      <w:r w:rsidRPr="00F713A4">
        <w:rPr>
          <w:lang w:val="en-US"/>
        </w:rPr>
        <w:t xml:space="preserve"> have also been described in </w:t>
      </w:r>
      <w:r w:rsidRPr="00F713A4">
        <w:rPr>
          <w:lang w:val="en-US"/>
        </w:rPr>
        <w:lastRenderedPageBreak/>
        <w:t>certain gynecological malignancies, such as high-grade endometrial carcinoma, where this bacterial genus has been explored as a potential prognostic biomarker</w:t>
      </w:r>
      <w:r w:rsidR="00246A2A">
        <w:rPr>
          <w:rStyle w:val="Rimandonotadichiusura"/>
          <w:lang w:val="en-US"/>
        </w:rPr>
        <w:endnoteReference w:id="268"/>
      </w:r>
      <w:r w:rsidR="00246A2A">
        <w:rPr>
          <w:lang w:val="en-US"/>
        </w:rPr>
        <w:t>.</w:t>
      </w:r>
      <w:r w:rsidRPr="00F713A4">
        <w:rPr>
          <w:lang w:val="en-US"/>
        </w:rPr>
        <w:t xml:space="preserve"> </w:t>
      </w:r>
    </w:p>
    <w:p w14:paraId="453FF5E7" w14:textId="23F41557" w:rsidR="00F97FD6" w:rsidRDefault="00F713A4" w:rsidP="00F713A4">
      <w:pPr>
        <w:spacing w:line="360" w:lineRule="auto"/>
        <w:jc w:val="both"/>
        <w:rPr>
          <w:lang w:val="en-US"/>
        </w:rPr>
      </w:pPr>
      <w:r w:rsidRPr="00F713A4">
        <w:rPr>
          <w:lang w:val="en-US"/>
        </w:rPr>
        <w:t xml:space="preserve">Overall, these observations suggest that </w:t>
      </w:r>
      <w:r w:rsidRPr="00F713A4">
        <w:rPr>
          <w:i/>
          <w:iCs/>
          <w:lang w:val="en-US"/>
        </w:rPr>
        <w:t>F. nucleatum</w:t>
      </w:r>
      <w:r w:rsidRPr="00F713A4">
        <w:rPr>
          <w:lang w:val="en-US"/>
        </w:rPr>
        <w:t xml:space="preserve"> may exert a dual role within the female reproductive tract: at low levels, it may act as a physiological modulator of the local immune environment, whereas at higher concentrations it may promote pathological inflammation, reflecting a delicate balance between commensalism and disease.</w:t>
      </w:r>
    </w:p>
    <w:p w14:paraId="43DE21C8" w14:textId="2E93E8CE" w:rsidR="00AF1208" w:rsidRPr="00AF1208" w:rsidRDefault="00AF1208" w:rsidP="00F713A4">
      <w:pPr>
        <w:spacing w:line="360" w:lineRule="auto"/>
        <w:jc w:val="both"/>
        <w:rPr>
          <w:lang w:val="en-US"/>
        </w:rPr>
      </w:pPr>
      <w:r w:rsidRPr="00AF1208">
        <w:rPr>
          <w:lang w:val="en-US"/>
        </w:rPr>
        <w:t xml:space="preserve">Recent experimental evidence further supports a potential mechanistic role of </w:t>
      </w:r>
      <w:r w:rsidRPr="00AF1208">
        <w:rPr>
          <w:i/>
          <w:iCs/>
          <w:lang w:val="en-US"/>
        </w:rPr>
        <w:t>Fusobacterium nucleatum</w:t>
      </w:r>
      <w:r w:rsidRPr="00AF1208">
        <w:rPr>
          <w:lang w:val="en-US"/>
        </w:rPr>
        <w:t xml:space="preserve"> in endometriosis pathogenesis. In a murine model, Muraoka et al. demonstrated that </w:t>
      </w:r>
      <w:r w:rsidRPr="00AF1208">
        <w:rPr>
          <w:i/>
          <w:iCs/>
          <w:lang w:val="en-US"/>
        </w:rPr>
        <w:t>Fusobacterium</w:t>
      </w:r>
      <w:r w:rsidRPr="00AF1208">
        <w:rPr>
          <w:lang w:val="en-US"/>
        </w:rPr>
        <w:t xml:space="preserve"> </w:t>
      </w:r>
      <w:proofErr w:type="gramStart"/>
      <w:r w:rsidRPr="00AF1208">
        <w:rPr>
          <w:lang w:val="en-US"/>
        </w:rPr>
        <w:t>is able to</w:t>
      </w:r>
      <w:proofErr w:type="gramEnd"/>
      <w:r w:rsidRPr="00AF1208">
        <w:rPr>
          <w:lang w:val="en-US"/>
        </w:rPr>
        <w:t xml:space="preserve"> proliferate within ectopic endometrial tissue and actively promote lesion development. The authors showed that bacterial infection induces fibroblast-to-myofibroblast transition through activation of TGF-</w:t>
      </w:r>
      <w:r w:rsidRPr="00AF1208">
        <w:t>β</w:t>
      </w:r>
      <w:r w:rsidRPr="00AF1208">
        <w:rPr>
          <w:lang w:val="en-US"/>
        </w:rPr>
        <w:t xml:space="preserve"> and IL-6 signaling pathways, leading to increased cellular proliferation, migration, and extracellular matrix remodeling. Notably, regression of endometriotic lesions was observed following targeted antibiotic eradication of </w:t>
      </w:r>
      <w:r w:rsidRPr="00AF1208">
        <w:rPr>
          <w:i/>
          <w:iCs/>
          <w:lang w:val="en-US"/>
        </w:rPr>
        <w:t>Fusobacterium</w:t>
      </w:r>
      <w:r w:rsidRPr="00AF1208">
        <w:rPr>
          <w:lang w:val="en-US"/>
        </w:rPr>
        <w:t xml:space="preserve">, rather than periodontal treatment per se, indicating that bacterial presence plays a direct role in lesion progression. Importantly, this experimental model did not involve periodontal disease, suggesting that </w:t>
      </w:r>
      <w:r w:rsidRPr="00AF1208">
        <w:rPr>
          <w:i/>
          <w:iCs/>
          <w:lang w:val="en-US"/>
        </w:rPr>
        <w:t>Fusobacterium</w:t>
      </w:r>
      <w:r w:rsidRPr="00AF1208">
        <w:rPr>
          <w:lang w:val="en-US"/>
        </w:rPr>
        <w:t>-mediated effects on endometriosis may occur independently of overt periodontal pathology and may reflect a broader systemic microbial influence</w:t>
      </w:r>
      <w:r w:rsidR="00246A2A">
        <w:rPr>
          <w:vertAlign w:val="superscript"/>
          <w:lang w:val="en-US"/>
        </w:rPr>
        <w:t>102</w:t>
      </w:r>
      <w:r w:rsidRPr="00AF1208">
        <w:rPr>
          <w:lang w:val="en-US"/>
        </w:rPr>
        <w:t>.</w:t>
      </w:r>
      <w:r>
        <w:rPr>
          <w:lang w:val="en-US"/>
        </w:rPr>
        <w:t xml:space="preserve"> </w:t>
      </w:r>
    </w:p>
    <w:p w14:paraId="517B3B57" w14:textId="19228E16" w:rsidR="00F713A4" w:rsidRPr="00F713A4" w:rsidRDefault="00F713A4" w:rsidP="00F713A4">
      <w:pPr>
        <w:spacing w:line="360" w:lineRule="auto"/>
        <w:jc w:val="both"/>
        <w:rPr>
          <w:lang w:val="en-US"/>
        </w:rPr>
      </w:pPr>
      <w:r w:rsidRPr="00F713A4">
        <w:rPr>
          <w:lang w:val="en-US"/>
        </w:rPr>
        <w:t>Rather than acting as a direct etiological factor for periodontal disease, endometriosis may be conceptualized as a systemic modifier of the oral microbial ecosystem, capable of lowering the threshold for dysbiosis in individuals who are otherwise periodontally healthy. Endometriosis is characterized by chronic low-grade systemic inflammation, immune dysregulation, oxidative stress, and altered hormonal signaling, all of which may influence host–microbe interactions beyond the pelvic environment</w:t>
      </w:r>
      <w:r w:rsidR="00246A2A">
        <w:rPr>
          <w:vertAlign w:val="superscript"/>
          <w:lang w:val="en-US"/>
        </w:rPr>
        <w:t>183</w:t>
      </w:r>
      <w:r w:rsidR="00246A2A">
        <w:rPr>
          <w:lang w:val="en-US"/>
        </w:rPr>
        <w:t>.</w:t>
      </w:r>
    </w:p>
    <w:p w14:paraId="7FA0543D" w14:textId="4A5C449D" w:rsidR="00F713A4" w:rsidRPr="00F713A4" w:rsidRDefault="00F713A4" w:rsidP="00F713A4">
      <w:pPr>
        <w:spacing w:line="360" w:lineRule="auto"/>
        <w:jc w:val="both"/>
        <w:rPr>
          <w:lang w:val="en-US"/>
        </w:rPr>
      </w:pPr>
      <w:r w:rsidRPr="00F713A4">
        <w:rPr>
          <w:lang w:val="en-US"/>
        </w:rPr>
        <w:t>Systemic inflammatory mediators and hormonal fluctuations associated with endometriosis may affect key protective mechanisms within the oral cavity, including epithelial barrier integrity, salivary composition, and innate immune surveillance. Such alterations could reduce host tolerance to otherwise commensal microbial communities, facilitating a shift toward a dysbiotic oral microbiota without the immediate manifestation of clinical periodontal disease</w:t>
      </w:r>
      <w:r w:rsidR="00C7233E">
        <w:rPr>
          <w:vertAlign w:val="superscript"/>
          <w:lang w:val="en-US"/>
        </w:rPr>
        <w:t>150</w:t>
      </w:r>
      <w:r w:rsidR="000E611B">
        <w:rPr>
          <w:lang w:val="en-US"/>
        </w:rPr>
        <w:t>.</w:t>
      </w:r>
    </w:p>
    <w:p w14:paraId="44CCADFB" w14:textId="6B3D7620" w:rsidR="00F713A4" w:rsidRPr="00C7233E" w:rsidRDefault="00F713A4" w:rsidP="00F713A4">
      <w:pPr>
        <w:spacing w:line="360" w:lineRule="auto"/>
        <w:jc w:val="both"/>
        <w:rPr>
          <w:lang w:val="en-US"/>
        </w:rPr>
      </w:pPr>
      <w:r w:rsidRPr="00F713A4">
        <w:rPr>
          <w:lang w:val="en-US"/>
        </w:rPr>
        <w:lastRenderedPageBreak/>
        <w:t>In this framework, changes in the subgingival microbial profile observed in women with endometriosis may reflect a preclinical ecological imbalance rather than overt periodontal pathology. This concept is consistent with current models of periodontal disease pathogenesis, in which host susceptibility and systemic modifiers play a crucial role in determining microbial community structure and inflammatory outcomes</w:t>
      </w:r>
      <w:r w:rsidR="00C7233E">
        <w:rPr>
          <w:vertAlign w:val="superscript"/>
          <w:lang w:val="en-US"/>
        </w:rPr>
        <w:t>39</w:t>
      </w:r>
      <w:r w:rsidR="00C7233E">
        <w:rPr>
          <w:lang w:val="en-US"/>
        </w:rPr>
        <w:t>.</w:t>
      </w:r>
    </w:p>
    <w:p w14:paraId="7B3B5FC1" w14:textId="77777777" w:rsidR="00F713A4" w:rsidRPr="00F713A4" w:rsidRDefault="00F713A4" w:rsidP="00F713A4">
      <w:pPr>
        <w:spacing w:line="360" w:lineRule="auto"/>
        <w:jc w:val="both"/>
        <w:rPr>
          <w:lang w:val="en-US"/>
        </w:rPr>
      </w:pPr>
      <w:r w:rsidRPr="00F713A4">
        <w:rPr>
          <w:lang w:val="en-US"/>
        </w:rPr>
        <w:t>Therefore, endometriosis may indirectly shape the oral microbial ecosystem by creating a systemic environment that favors dysbiosis, supporting the hypothesis that oral microbial alterations in these patients represent an early biological signal of systemic inflammatory burden rather than a direct consequence of local periodontal breakdown.</w:t>
      </w:r>
    </w:p>
    <w:p w14:paraId="62CBE60C" w14:textId="77777777" w:rsidR="004224D3" w:rsidRPr="004224D3" w:rsidRDefault="004224D3" w:rsidP="004224D3">
      <w:pPr>
        <w:spacing w:line="360" w:lineRule="auto"/>
        <w:jc w:val="both"/>
        <w:rPr>
          <w:i/>
          <w:iCs/>
          <w:lang w:val="en-US"/>
        </w:rPr>
      </w:pPr>
      <w:r w:rsidRPr="004224D3">
        <w:rPr>
          <w:i/>
          <w:iCs/>
          <w:lang w:val="en-US"/>
        </w:rPr>
        <w:t>Oral microbiota as a potential non-invasive biomarker</w:t>
      </w:r>
    </w:p>
    <w:p w14:paraId="43453E8A" w14:textId="77777777" w:rsidR="004224D3" w:rsidRPr="004224D3" w:rsidRDefault="004224D3" w:rsidP="004224D3">
      <w:pPr>
        <w:spacing w:line="360" w:lineRule="auto"/>
        <w:jc w:val="both"/>
        <w:rPr>
          <w:lang w:val="en-US"/>
        </w:rPr>
      </w:pPr>
      <w:r w:rsidRPr="004224D3">
        <w:rPr>
          <w:lang w:val="en-US"/>
        </w:rPr>
        <w:t>The findings of the present study further support the emerging concept of the oral microbiota as a potential non-invasive biomarker of systemic inflammatory conditions. The qualitative and quantitative alterations observed in the subgingival microbial profile of women with endometriosis suggest that the oral cavity may reflect, at least in part, the systemic inflammatory milieu associated with the disease.</w:t>
      </w:r>
    </w:p>
    <w:p w14:paraId="527D085A" w14:textId="098F33F5" w:rsidR="004224D3" w:rsidRPr="004224D3" w:rsidRDefault="004224D3" w:rsidP="004224D3">
      <w:pPr>
        <w:spacing w:line="360" w:lineRule="auto"/>
        <w:jc w:val="both"/>
        <w:rPr>
          <w:lang w:val="en-US"/>
        </w:rPr>
      </w:pPr>
      <w:r w:rsidRPr="004224D3">
        <w:rPr>
          <w:lang w:val="en-US"/>
        </w:rPr>
        <w:t>In this perspective, the oral microbiota may represent an accessible biological interface capable of mirroring host immune and inflammatory status. Unlike traditional clinical assessments, which often detect disease only after the onset of overt symptoms, microbial profiling may capture early ecological shifts toward dysbiosis, even in the absence of clinically evident periodontal disease. This concept is consistent with current models of periodontal pathogenesis, in which microbial imbalance precedes tissue destruction and is strongly influenced by host susceptibility and systemic modifiers</w:t>
      </w:r>
      <w:r w:rsidR="00C7233E">
        <w:rPr>
          <w:vertAlign w:val="superscript"/>
          <w:lang w:val="en-US"/>
        </w:rPr>
        <w:t>150</w:t>
      </w:r>
      <w:r w:rsidR="00C7233E">
        <w:rPr>
          <w:lang w:val="en-US"/>
        </w:rPr>
        <w:t>.</w:t>
      </w:r>
    </w:p>
    <w:p w14:paraId="21B644D5" w14:textId="0A0AB29F" w:rsidR="004224D3" w:rsidRPr="004224D3" w:rsidRDefault="004224D3" w:rsidP="004224D3">
      <w:pPr>
        <w:spacing w:line="360" w:lineRule="auto"/>
        <w:jc w:val="both"/>
        <w:rPr>
          <w:lang w:val="en-US"/>
        </w:rPr>
      </w:pPr>
      <w:r w:rsidRPr="004224D3">
        <w:rPr>
          <w:lang w:val="en-US"/>
        </w:rPr>
        <w:t>The use of high-sensitivity biomolecular techniques, such as real-time PCR, allows the detection of subtle microbial changes that may be indicative of altered host–microbiota interactions. In women with endometriosis, such microbial signatures could complement gynecological and clinical evaluations, contributing to a more comprehensive characterization of the inflammatory phenotype and potentially supporting individualized monitoring strategies</w:t>
      </w:r>
      <w:r w:rsidR="00C7233E">
        <w:rPr>
          <w:vertAlign w:val="superscript"/>
          <w:lang w:val="en-US"/>
        </w:rPr>
        <w:t>125</w:t>
      </w:r>
      <w:r w:rsidR="00C7233E">
        <w:rPr>
          <w:lang w:val="en-US"/>
        </w:rPr>
        <w:t>.</w:t>
      </w:r>
    </w:p>
    <w:p w14:paraId="687B5493" w14:textId="0D78E2B3" w:rsidR="004224D3" w:rsidRPr="004224D3" w:rsidRDefault="004224D3" w:rsidP="004224D3">
      <w:pPr>
        <w:spacing w:line="360" w:lineRule="auto"/>
        <w:jc w:val="both"/>
        <w:rPr>
          <w:lang w:val="en-US"/>
        </w:rPr>
      </w:pPr>
      <w:r w:rsidRPr="004224D3">
        <w:rPr>
          <w:lang w:val="en-US"/>
        </w:rPr>
        <w:t xml:space="preserve">Importantly, the absence of overt periodontal disease in the study population strengthens the hypothesis that the observed microbial alterations represent a preclinical or subclinical signal rather than a consequence of local periodontal breakdown. Similar patterns have </w:t>
      </w:r>
      <w:r w:rsidRPr="004224D3">
        <w:rPr>
          <w:lang w:val="en-US"/>
        </w:rPr>
        <w:lastRenderedPageBreak/>
        <w:t>been reported in other systemic inflammatory conditions, where microbial shifts precede or occur independently of clinically manifest periodontal pathology</w:t>
      </w:r>
      <w:r w:rsidR="0041591C">
        <w:rPr>
          <w:lang w:val="en-US"/>
        </w:rPr>
        <w:t>.</w:t>
      </w:r>
    </w:p>
    <w:p w14:paraId="5E688A41" w14:textId="77777777" w:rsidR="004224D3" w:rsidRPr="004224D3" w:rsidRDefault="004224D3" w:rsidP="004224D3">
      <w:pPr>
        <w:spacing w:line="360" w:lineRule="auto"/>
        <w:jc w:val="both"/>
        <w:rPr>
          <w:lang w:val="en-US"/>
        </w:rPr>
      </w:pPr>
      <w:r w:rsidRPr="004224D3">
        <w:rPr>
          <w:lang w:val="en-US"/>
        </w:rPr>
        <w:t>Taken together, these observations suggest that oral microbial profiling may hold promise as a non-invasive adjunctive biomarker in the context of endometriosis. While causality cannot be inferred from the present findings, the identification of oral microbial signatures associated with systemic inflammatory states opens new perspectives for integrative, multidisciplinary approaches to disease assessment and monitoring. Future studies conducted on larger and more diverse cohorts will be essential to validate the clinical utility of oral microbiota-based biomarkers and to define their potential role in personalized management strategies for women with endometriosis.</w:t>
      </w:r>
    </w:p>
    <w:p w14:paraId="691D8CC4" w14:textId="50C10B95" w:rsidR="000E611B" w:rsidRDefault="000E611B">
      <w:pPr>
        <w:rPr>
          <w:lang w:val="en-US"/>
        </w:rPr>
      </w:pPr>
      <w:r>
        <w:rPr>
          <w:lang w:val="en-US"/>
        </w:rPr>
        <w:br w:type="page"/>
      </w:r>
    </w:p>
    <w:p w14:paraId="0903F6D7" w14:textId="400EB7C0" w:rsidR="009F02A5" w:rsidRDefault="009F02A5" w:rsidP="00BD4C85">
      <w:pPr>
        <w:pStyle w:val="Titolo1"/>
        <w:jc w:val="center"/>
        <w:rPr>
          <w:sz w:val="36"/>
          <w:szCs w:val="36"/>
          <w:lang w:val="en-US"/>
        </w:rPr>
      </w:pPr>
      <w:bookmarkStart w:id="37" w:name="_Toc219243301"/>
      <w:r w:rsidRPr="00A73C1E">
        <w:rPr>
          <w:sz w:val="36"/>
          <w:szCs w:val="36"/>
          <w:lang w:val="en-US"/>
        </w:rPr>
        <w:lastRenderedPageBreak/>
        <w:t>6. LIMIT</w:t>
      </w:r>
      <w:r w:rsidR="00BD4C85" w:rsidRPr="00A73C1E">
        <w:rPr>
          <w:sz w:val="36"/>
          <w:szCs w:val="36"/>
          <w:lang w:val="en-US"/>
        </w:rPr>
        <w:t>ATION</w:t>
      </w:r>
      <w:r w:rsidRPr="00A73C1E">
        <w:rPr>
          <w:sz w:val="36"/>
          <w:szCs w:val="36"/>
          <w:lang w:val="en-US"/>
        </w:rPr>
        <w:t>S</w:t>
      </w:r>
      <w:bookmarkEnd w:id="37"/>
    </w:p>
    <w:p w14:paraId="6D78505B" w14:textId="77777777" w:rsidR="006A35BB" w:rsidRPr="006A35BB" w:rsidRDefault="006A35BB" w:rsidP="006A35BB">
      <w:pPr>
        <w:rPr>
          <w:lang w:val="en-US"/>
        </w:rPr>
      </w:pPr>
    </w:p>
    <w:p w14:paraId="4F47BA77" w14:textId="29DA7363" w:rsidR="00A73C1E" w:rsidRDefault="00A73C1E" w:rsidP="004224D3">
      <w:pPr>
        <w:spacing w:line="360" w:lineRule="auto"/>
        <w:jc w:val="both"/>
        <w:rPr>
          <w:lang w:val="en-GB"/>
        </w:rPr>
      </w:pPr>
      <w:r w:rsidRPr="00CC0630">
        <w:rPr>
          <w:lang w:val="en-GB"/>
        </w:rPr>
        <w:t>Several limitations should be acknowledged. The small sample size limits the generalizability of the findings and restricts the ability to perform robust inferential statistical analyses. Moreover, the cross-sectional design precludes conclusions regarding causality. Potential confounding factors, including dietary habits, psychosocial stress, and subtle hormonal variations, could not be fully controlled. Future studies employing larger cohorts, longitudinal designs, and integrated assessments of periodontal clinical parameters and systemic inflammatory biomarkers are needed to clarify the relationship</w:t>
      </w:r>
      <w:r w:rsidR="000E611B">
        <w:rPr>
          <w:lang w:val="en-GB"/>
        </w:rPr>
        <w:t xml:space="preserve"> </w:t>
      </w:r>
      <w:r w:rsidRPr="00CC0630">
        <w:rPr>
          <w:lang w:val="en-GB"/>
        </w:rPr>
        <w:t>between endometriosis and periodontal dysbiosis</w:t>
      </w:r>
      <w:r w:rsidR="00C7233E">
        <w:rPr>
          <w:rStyle w:val="Rimandonotadichiusura"/>
          <w:lang w:val="en-GB"/>
        </w:rPr>
        <w:endnoteReference w:id="269"/>
      </w:r>
      <w:r w:rsidR="00C7233E">
        <w:rPr>
          <w:lang w:val="en-GB"/>
        </w:rPr>
        <w:t>.</w:t>
      </w:r>
    </w:p>
    <w:p w14:paraId="7D845930" w14:textId="1FCA9932" w:rsidR="00A73C1E" w:rsidRPr="00CC0630" w:rsidRDefault="00A73C1E" w:rsidP="004224D3">
      <w:pPr>
        <w:spacing w:line="360" w:lineRule="auto"/>
        <w:jc w:val="both"/>
        <w:rPr>
          <w:lang w:val="en-GB"/>
        </w:rPr>
      </w:pPr>
      <w:r w:rsidRPr="00257F57">
        <w:rPr>
          <w:lang w:val="en-GB"/>
        </w:rPr>
        <w:t>The use of saliva samples, while limiting site-specific periodontal interpretation, may better reflect systemic influences on the oral microbiota, which is particularly relevant in the context of a systemic inflammatory disease such as endometriosis.</w:t>
      </w:r>
    </w:p>
    <w:p w14:paraId="595E933A" w14:textId="77777777" w:rsidR="00A73C1E" w:rsidRPr="00CC0630" w:rsidRDefault="00A73C1E" w:rsidP="004224D3">
      <w:pPr>
        <w:spacing w:line="360" w:lineRule="auto"/>
        <w:jc w:val="both"/>
        <w:rPr>
          <w:lang w:val="en-GB"/>
        </w:rPr>
      </w:pPr>
      <w:r w:rsidRPr="00CC0630">
        <w:rPr>
          <w:lang w:val="en-GB"/>
        </w:rPr>
        <w:t xml:space="preserve">Despite these limitations, the present study provides novel preliminary evidence supporting an association between endometriosis and alterations in the periodontal microbiota. These findings contribute to the growing body of literature on oral–systemic health interactions and underscore the importance of interdisciplinary collaboration between dental and </w:t>
      </w:r>
      <w:proofErr w:type="spellStart"/>
      <w:r w:rsidRPr="00CC0630">
        <w:rPr>
          <w:lang w:val="en-GB"/>
        </w:rPr>
        <w:t>gynecological</w:t>
      </w:r>
      <w:proofErr w:type="spellEnd"/>
      <w:r w:rsidRPr="00CC0630">
        <w:rPr>
          <w:lang w:val="en-GB"/>
        </w:rPr>
        <w:t xml:space="preserve"> healthcare professionals. Early periodontal monitoring may represent a valuable component of comprehensive care in women affected by endometriosis.</w:t>
      </w:r>
    </w:p>
    <w:p w14:paraId="761353F1" w14:textId="6A285FFB" w:rsidR="000E611B" w:rsidRDefault="000E611B">
      <w:pPr>
        <w:rPr>
          <w:lang w:val="en-US"/>
        </w:rPr>
      </w:pPr>
      <w:r>
        <w:rPr>
          <w:lang w:val="en-US"/>
        </w:rPr>
        <w:br w:type="page"/>
      </w:r>
    </w:p>
    <w:p w14:paraId="393B129A" w14:textId="71F6C64E" w:rsidR="003B62D3" w:rsidRPr="00B17019" w:rsidRDefault="009F02A5" w:rsidP="006D27CE">
      <w:pPr>
        <w:pStyle w:val="Titolo1"/>
        <w:spacing w:line="360" w:lineRule="auto"/>
        <w:jc w:val="center"/>
        <w:rPr>
          <w:sz w:val="36"/>
          <w:szCs w:val="36"/>
          <w:lang w:val="en-US"/>
        </w:rPr>
      </w:pPr>
      <w:bookmarkStart w:id="38" w:name="_Toc219243302"/>
      <w:r w:rsidRPr="00B17019">
        <w:rPr>
          <w:sz w:val="36"/>
          <w:szCs w:val="36"/>
          <w:lang w:val="en-US"/>
        </w:rPr>
        <w:lastRenderedPageBreak/>
        <w:t>7</w:t>
      </w:r>
      <w:r w:rsidR="00712F2D" w:rsidRPr="00B17019">
        <w:rPr>
          <w:sz w:val="36"/>
          <w:szCs w:val="36"/>
          <w:lang w:val="en-US"/>
        </w:rPr>
        <w:t xml:space="preserve">. </w:t>
      </w:r>
      <w:r w:rsidR="003B62D3" w:rsidRPr="00B17019">
        <w:rPr>
          <w:sz w:val="36"/>
          <w:szCs w:val="36"/>
          <w:lang w:val="en-US"/>
        </w:rPr>
        <w:t>CONCLUSION</w:t>
      </w:r>
      <w:r w:rsidR="00290211" w:rsidRPr="00B17019">
        <w:rPr>
          <w:sz w:val="36"/>
          <w:szCs w:val="36"/>
          <w:lang w:val="en-US"/>
        </w:rPr>
        <w:t>S</w:t>
      </w:r>
      <w:bookmarkEnd w:id="38"/>
    </w:p>
    <w:p w14:paraId="534234F9" w14:textId="5CF4800A" w:rsidR="00B17019" w:rsidRPr="00B17019" w:rsidRDefault="00B17019" w:rsidP="00B17019">
      <w:pPr>
        <w:spacing w:line="360" w:lineRule="auto"/>
        <w:jc w:val="both"/>
        <w:rPr>
          <w:lang w:val="en-US"/>
        </w:rPr>
      </w:pPr>
      <w:r w:rsidRPr="00B17019">
        <w:rPr>
          <w:lang w:val="en-US"/>
        </w:rPr>
        <w:t>The present study analyzes the relationship between disorders of the female reproductive sphere and the implications of oral medicine, highlighting possible bidirectional interactions and shared pathogenetic mechanisms. The adoption of integrated multidisciplinary strategies, involving gynecological and dental expertise, may contribute to optimizing clinical outcomes and promoting better overall health in women. In this context, early diagnosis, the implementation of timely interventions, and the adoption of preventive measures aimed at maintaining oral health through appropriate oral hygiene play a fundamental role.</w:t>
      </w:r>
    </w:p>
    <w:p w14:paraId="2DF724C7" w14:textId="77777777" w:rsidR="00B17019" w:rsidRPr="00B17019" w:rsidRDefault="00B17019" w:rsidP="00B17019">
      <w:pPr>
        <w:spacing w:line="360" w:lineRule="auto"/>
        <w:jc w:val="both"/>
        <w:rPr>
          <w:lang w:val="en-US"/>
        </w:rPr>
      </w:pPr>
      <w:r w:rsidRPr="00B17019">
        <w:rPr>
          <w:lang w:val="en-US"/>
        </w:rPr>
        <w:t>Overall, these results suggest that the analysis of the oral microbiota, through biomolecular techniques, could represent a complementary non-invasive tool in the early identification of alterations associated with periodontal and reproductive disorders, to be integrated with traditional diagnostic approaches.</w:t>
      </w:r>
    </w:p>
    <w:p w14:paraId="7D4AA47B" w14:textId="77777777" w:rsidR="00B17019" w:rsidRPr="00B17019" w:rsidRDefault="00B17019" w:rsidP="00B17019">
      <w:pPr>
        <w:spacing w:line="360" w:lineRule="auto"/>
        <w:jc w:val="both"/>
        <w:rPr>
          <w:lang w:val="en-US"/>
        </w:rPr>
      </w:pPr>
      <w:r w:rsidRPr="00B17019">
        <w:rPr>
          <w:lang w:val="en-US"/>
        </w:rPr>
        <w:t>A multidisciplinary approach involving gynecological and dental expertise therefore appears desirable for a more comprehensive evaluation of women’s health and for the implementation of targeted preventive and monitoring strategies.</w:t>
      </w:r>
    </w:p>
    <w:p w14:paraId="3394F9BF" w14:textId="77777777" w:rsidR="00B17019" w:rsidRPr="00B17019" w:rsidRDefault="00B17019" w:rsidP="00B17019">
      <w:pPr>
        <w:spacing w:line="360" w:lineRule="auto"/>
        <w:jc w:val="both"/>
        <w:rPr>
          <w:lang w:val="en-US"/>
        </w:rPr>
      </w:pPr>
      <w:r w:rsidRPr="00B17019">
        <w:rPr>
          <w:lang w:val="en-US"/>
        </w:rPr>
        <w:t>In conclusion, further studies will be necessary to clarify the role of these interactions in periodontitis and in reproductive pathologies such as endometriosis, as well as to further investigate the biological processes involved.</w:t>
      </w:r>
    </w:p>
    <w:p w14:paraId="68665F23" w14:textId="158A8C48" w:rsidR="00787F6F" w:rsidRPr="00B17019" w:rsidRDefault="00787F6F">
      <w:pPr>
        <w:rPr>
          <w:sz w:val="22"/>
          <w:szCs w:val="22"/>
          <w:lang w:val="en-US"/>
        </w:rPr>
      </w:pPr>
      <w:r w:rsidRPr="00B17019">
        <w:rPr>
          <w:sz w:val="22"/>
          <w:szCs w:val="22"/>
          <w:lang w:val="en-US"/>
        </w:rPr>
        <w:br w:type="page"/>
      </w:r>
    </w:p>
    <w:p w14:paraId="1DFDA521" w14:textId="4FAB3F54" w:rsidR="00C52F20" w:rsidRPr="00EE4819" w:rsidRDefault="00EE4819" w:rsidP="009834DD">
      <w:pPr>
        <w:pStyle w:val="Titolo1"/>
        <w:jc w:val="center"/>
        <w:rPr>
          <w:sz w:val="28"/>
          <w:szCs w:val="36"/>
        </w:rPr>
      </w:pPr>
      <w:bookmarkStart w:id="39" w:name="_Toc219243303"/>
      <w:r w:rsidRPr="00EE4819">
        <w:rPr>
          <w:sz w:val="28"/>
          <w:szCs w:val="36"/>
        </w:rPr>
        <w:lastRenderedPageBreak/>
        <w:t>REFERENCES</w:t>
      </w:r>
      <w:bookmarkEnd w:id="39"/>
    </w:p>
    <w:p w14:paraId="29205E0C" w14:textId="77777777" w:rsidR="00787F6F" w:rsidRPr="00787F6F" w:rsidRDefault="00787F6F" w:rsidP="00C826BF">
      <w:pPr>
        <w:ind w:right="-357"/>
        <w:jc w:val="both"/>
        <w:rPr>
          <w:sz w:val="22"/>
          <w:szCs w:val="22"/>
          <w:lang w:val="en-US"/>
        </w:rPr>
      </w:pPr>
    </w:p>
    <w:sectPr w:rsidR="00787F6F" w:rsidRPr="00787F6F" w:rsidSect="004E4CA7">
      <w:footerReference w:type="default" r:id="rId28"/>
      <w:endnotePr>
        <w:numFmt w:val="decimal"/>
      </w:endnotePr>
      <w:type w:val="continuous"/>
      <w:pgSz w:w="11900" w:h="16840"/>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0F9D1" w14:textId="77777777" w:rsidR="001A3906" w:rsidRDefault="001A3906" w:rsidP="000B3E73">
      <w:r>
        <w:separator/>
      </w:r>
    </w:p>
  </w:endnote>
  <w:endnote w:type="continuationSeparator" w:id="0">
    <w:p w14:paraId="1C680676" w14:textId="77777777" w:rsidR="001A3906" w:rsidRDefault="001A3906" w:rsidP="000B3E73">
      <w:r>
        <w:continuationSeparator/>
      </w:r>
    </w:p>
  </w:endnote>
  <w:endnote w:id="1">
    <w:p w14:paraId="07D49A11" w14:textId="7A5BC84F" w:rsidR="00335071" w:rsidRPr="0072132A" w:rsidRDefault="00335071"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w:t>
      </w:r>
      <w:r w:rsidRPr="00335071">
        <w:rPr>
          <w:sz w:val="18"/>
          <w:szCs w:val="18"/>
          <w:lang w:val="en-US"/>
        </w:rPr>
        <w:t>Bianchi S, Nottola SA, Torge D, Palmerini MG, Macchiarelli G, Cecconi S. Association between female reproductive health and mancozeb: systematic review of experimental models. Int J Environ Res Public Health. 2020;17(7):2580. doi:10.3390/ijerph17072580.</w:t>
      </w:r>
    </w:p>
    <w:p w14:paraId="3571D59D" w14:textId="77777777" w:rsidR="00335071" w:rsidRPr="0072132A" w:rsidRDefault="00335071" w:rsidP="0072132A">
      <w:pPr>
        <w:pStyle w:val="Testonotadichiusura"/>
        <w:jc w:val="both"/>
        <w:rPr>
          <w:sz w:val="18"/>
          <w:szCs w:val="18"/>
          <w:lang w:val="en-US"/>
        </w:rPr>
      </w:pPr>
    </w:p>
  </w:endnote>
  <w:endnote w:id="2">
    <w:p w14:paraId="2BE85B64" w14:textId="6120183A" w:rsidR="004938E8" w:rsidRPr="00D73971" w:rsidRDefault="004938E8" w:rsidP="004938E8">
      <w:pPr>
        <w:pStyle w:val="Testonotadichiusura"/>
        <w:jc w:val="both"/>
        <w:rPr>
          <w:lang w:val="en-US"/>
        </w:rPr>
      </w:pPr>
      <w:r>
        <w:rPr>
          <w:rStyle w:val="Rimandonotadichiusura"/>
        </w:rPr>
        <w:endnoteRef/>
      </w:r>
      <w:r w:rsidRPr="004938E8">
        <w:rPr>
          <w:lang w:val="en-US"/>
        </w:rPr>
        <w:t xml:space="preserve"> </w:t>
      </w:r>
      <w:r w:rsidRPr="004938E8">
        <w:rPr>
          <w:sz w:val="18"/>
          <w:szCs w:val="18"/>
          <w:lang w:val="en-US"/>
        </w:rPr>
        <w:t xml:space="preserve">As-Sanie S, Mackenzie SC, Morrison L, Schrepf A, Zondervan KT, Horne AW, Missmer SA. </w:t>
      </w:r>
      <w:r w:rsidRPr="00D73971">
        <w:rPr>
          <w:i/>
          <w:iCs/>
          <w:sz w:val="18"/>
          <w:szCs w:val="18"/>
          <w:lang w:val="en-US"/>
        </w:rPr>
        <w:t>Endometriosis: A Review</w:t>
      </w:r>
      <w:r w:rsidRPr="00D73971">
        <w:rPr>
          <w:sz w:val="18"/>
          <w:szCs w:val="18"/>
          <w:lang w:val="en-US"/>
        </w:rPr>
        <w:t xml:space="preserve">. JAMA. </w:t>
      </w:r>
      <w:r w:rsidRPr="00D73971">
        <w:rPr>
          <w:b/>
          <w:bCs/>
          <w:sz w:val="18"/>
          <w:szCs w:val="18"/>
          <w:lang w:val="en-US"/>
        </w:rPr>
        <w:t>2025</w:t>
      </w:r>
      <w:r w:rsidRPr="00D73971">
        <w:rPr>
          <w:sz w:val="18"/>
          <w:szCs w:val="18"/>
          <w:lang w:val="en-US"/>
        </w:rPr>
        <w:t xml:space="preserve"> Jul 1;334(1):64-78. doi: 10.1001/jama.2025.2975. PMID: 40323608.</w:t>
      </w:r>
    </w:p>
    <w:p w14:paraId="4E810102" w14:textId="77777777" w:rsidR="004938E8" w:rsidRPr="004938E8" w:rsidRDefault="004938E8">
      <w:pPr>
        <w:pStyle w:val="Testonotadichiusura"/>
        <w:rPr>
          <w:lang w:val="en-US"/>
        </w:rPr>
      </w:pPr>
    </w:p>
  </w:endnote>
  <w:endnote w:id="3">
    <w:p w14:paraId="3F6C8684" w14:textId="229FC8C7" w:rsidR="00F3050A" w:rsidRPr="0072132A" w:rsidRDefault="00F3050A"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Garcia-Penarrubia P, Ruiz-Alcaraz AJ, Martinez-Esparza M, Marin P, Machado-Linde F. Hypothetical roadmap towards endometriosis: prenatal endocrine-disrupting chemical pollutant exposure, anogenital distance, gut-genital microbiota, and subclinical infections. </w:t>
      </w:r>
      <w:r w:rsidRPr="0072132A">
        <w:rPr>
          <w:i/>
          <w:iCs/>
          <w:sz w:val="18"/>
          <w:szCs w:val="18"/>
          <w:lang w:val="en-US"/>
        </w:rPr>
        <w:t xml:space="preserve">Hum Reprod Update. </w:t>
      </w:r>
      <w:r w:rsidRPr="0072132A">
        <w:rPr>
          <w:sz w:val="18"/>
          <w:szCs w:val="18"/>
          <w:lang w:val="en-US"/>
        </w:rPr>
        <w:t>2020;26(2):214-246. doi:https://doi.org/10.1093/humupd/dmz044</w:t>
      </w:r>
    </w:p>
    <w:p w14:paraId="21BF01C2" w14:textId="77777777" w:rsidR="00F3050A" w:rsidRPr="0072132A" w:rsidRDefault="00F3050A" w:rsidP="0072132A">
      <w:pPr>
        <w:pStyle w:val="Testonotadichiusura"/>
        <w:jc w:val="both"/>
        <w:rPr>
          <w:sz w:val="18"/>
          <w:szCs w:val="18"/>
          <w:lang w:val="en-US"/>
        </w:rPr>
      </w:pPr>
    </w:p>
  </w:endnote>
  <w:endnote w:id="4">
    <w:p w14:paraId="659A2A3F" w14:textId="2C47B81C" w:rsidR="009E7BB4" w:rsidRPr="0072132A" w:rsidRDefault="009E7BB4"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Bernardi S, Falisi G, Tari SR, Al-Hamed FS, Scarano A. One out of ten: when oral medicine should not leave behind women affected by reproductive disorders. </w:t>
      </w:r>
      <w:r w:rsidRPr="0072132A">
        <w:rPr>
          <w:i/>
          <w:iCs/>
          <w:sz w:val="18"/>
          <w:szCs w:val="18"/>
          <w:lang w:val="en-US"/>
        </w:rPr>
        <w:t>Ann Stomatol (Roma)</w:t>
      </w:r>
      <w:r w:rsidRPr="0072132A">
        <w:rPr>
          <w:sz w:val="18"/>
          <w:szCs w:val="18"/>
          <w:lang w:val="en-US"/>
        </w:rPr>
        <w:t>. 2024;2(1):1-6. doi:10.5281/zenodo.10412345</w:t>
      </w:r>
    </w:p>
    <w:p w14:paraId="4CA7DF38" w14:textId="77777777" w:rsidR="009E7BB4" w:rsidRPr="0072132A" w:rsidRDefault="009E7BB4" w:rsidP="0072132A">
      <w:pPr>
        <w:pStyle w:val="Testonotadichiusura"/>
        <w:jc w:val="both"/>
        <w:rPr>
          <w:sz w:val="18"/>
          <w:szCs w:val="18"/>
          <w:lang w:val="en-US"/>
        </w:rPr>
      </w:pPr>
    </w:p>
  </w:endnote>
  <w:endnote w:id="5">
    <w:p w14:paraId="775B9737" w14:textId="2C059143" w:rsidR="004938E8" w:rsidRPr="004938E8" w:rsidRDefault="004938E8" w:rsidP="004938E8">
      <w:pPr>
        <w:pStyle w:val="Testonotadichiusura"/>
        <w:jc w:val="both"/>
        <w:rPr>
          <w:lang w:val="en-US"/>
        </w:rPr>
      </w:pPr>
      <w:r>
        <w:rPr>
          <w:rStyle w:val="Rimandonotadichiusura"/>
        </w:rPr>
        <w:endnoteRef/>
      </w:r>
      <w:r w:rsidRPr="004938E8">
        <w:rPr>
          <w:lang w:val="en-US"/>
        </w:rPr>
        <w:t xml:space="preserve"> </w:t>
      </w:r>
      <w:r w:rsidRPr="004938E8">
        <w:rPr>
          <w:sz w:val="18"/>
          <w:szCs w:val="18"/>
          <w:lang w:val="en-US"/>
        </w:rPr>
        <w:t xml:space="preserve">Wang Y, Wu Y, Song J. </w:t>
      </w:r>
      <w:r w:rsidRPr="004938E8">
        <w:rPr>
          <w:i/>
          <w:iCs/>
          <w:sz w:val="18"/>
          <w:szCs w:val="18"/>
          <w:lang w:val="en-US"/>
        </w:rPr>
        <w:t>Global and Regional Burden of Periodontal Disease in Adults</w:t>
      </w:r>
      <w:r w:rsidRPr="004938E8">
        <w:rPr>
          <w:sz w:val="18"/>
          <w:szCs w:val="18"/>
          <w:lang w:val="en-US"/>
        </w:rPr>
        <w:t xml:space="preserve"> (</w:t>
      </w:r>
      <w:r w:rsidRPr="004938E8">
        <w:rPr>
          <w:b/>
          <w:bCs/>
          <w:sz w:val="18"/>
          <w:szCs w:val="18"/>
          <w:lang w:val="en-US"/>
        </w:rPr>
        <w:t>1990</w:t>
      </w:r>
      <w:r w:rsidRPr="004938E8">
        <w:rPr>
          <w:sz w:val="18"/>
          <w:szCs w:val="18"/>
          <w:lang w:val="en-US"/>
        </w:rPr>
        <w:t>-</w:t>
      </w:r>
      <w:r w:rsidRPr="004938E8">
        <w:rPr>
          <w:b/>
          <w:bCs/>
          <w:sz w:val="18"/>
          <w:szCs w:val="18"/>
          <w:lang w:val="en-US"/>
        </w:rPr>
        <w:t>2021</w:t>
      </w:r>
      <w:r w:rsidRPr="004938E8">
        <w:rPr>
          <w:sz w:val="18"/>
          <w:szCs w:val="18"/>
          <w:lang w:val="en-US"/>
        </w:rPr>
        <w:t>). Int Dent J. 2025 Dec;75(6):103883. doi: 10.1016/j.identj.2025.103883. Epub 2025 Sep 3. PMID: 40902507; PMCID: PMC12444476.</w:t>
      </w:r>
    </w:p>
    <w:p w14:paraId="7A3B3F3E" w14:textId="77777777" w:rsidR="004938E8" w:rsidRPr="004938E8" w:rsidRDefault="004938E8">
      <w:pPr>
        <w:pStyle w:val="Testonotadichiusura"/>
        <w:rPr>
          <w:lang w:val="en-US"/>
        </w:rPr>
      </w:pPr>
    </w:p>
  </w:endnote>
  <w:endnote w:id="6">
    <w:p w14:paraId="4247E237" w14:textId="1DEE604D" w:rsidR="004938E8" w:rsidRPr="00D73971" w:rsidRDefault="004938E8" w:rsidP="004938E8">
      <w:pPr>
        <w:pStyle w:val="Testonotadichiusura"/>
        <w:jc w:val="both"/>
        <w:rPr>
          <w:lang w:val="en-US"/>
        </w:rPr>
      </w:pPr>
      <w:r>
        <w:rPr>
          <w:rStyle w:val="Rimandonotadichiusura"/>
        </w:rPr>
        <w:endnoteRef/>
      </w:r>
      <w:r w:rsidRPr="004938E8">
        <w:rPr>
          <w:lang w:val="en-US"/>
        </w:rPr>
        <w:t xml:space="preserve"> </w:t>
      </w:r>
      <w:r w:rsidRPr="004938E8">
        <w:rPr>
          <w:sz w:val="18"/>
          <w:szCs w:val="18"/>
          <w:lang w:val="en-US"/>
        </w:rPr>
        <w:t xml:space="preserve">Van Dyke TE, Bartold PM, Reynolds EC. </w:t>
      </w:r>
      <w:r w:rsidRPr="004938E8">
        <w:rPr>
          <w:i/>
          <w:iCs/>
          <w:sz w:val="18"/>
          <w:szCs w:val="18"/>
          <w:lang w:val="en-US"/>
        </w:rPr>
        <w:t>The Nexus Between Periodontal Inflammation and Dysbiosis</w:t>
      </w:r>
      <w:r w:rsidRPr="004938E8">
        <w:rPr>
          <w:sz w:val="18"/>
          <w:szCs w:val="18"/>
          <w:lang w:val="en-US"/>
        </w:rPr>
        <w:t xml:space="preserve">. </w:t>
      </w:r>
      <w:r w:rsidRPr="00D73971">
        <w:rPr>
          <w:sz w:val="18"/>
          <w:szCs w:val="18"/>
          <w:lang w:val="en-US"/>
        </w:rPr>
        <w:t xml:space="preserve">Front Immunol. </w:t>
      </w:r>
      <w:r w:rsidRPr="00D73971">
        <w:rPr>
          <w:b/>
          <w:bCs/>
          <w:sz w:val="18"/>
          <w:szCs w:val="18"/>
          <w:lang w:val="en-US"/>
        </w:rPr>
        <w:t>2020</w:t>
      </w:r>
      <w:r w:rsidRPr="00D73971">
        <w:rPr>
          <w:sz w:val="18"/>
          <w:szCs w:val="18"/>
          <w:lang w:val="en-US"/>
        </w:rPr>
        <w:t xml:space="preserve"> Mar 31;11:511. doi: 10.3389/fimmu.2020.00511. PMID: 32296429; PMCID: PMC7136396.</w:t>
      </w:r>
    </w:p>
    <w:p w14:paraId="7912B7D1" w14:textId="77777777" w:rsidR="004938E8" w:rsidRPr="004938E8" w:rsidRDefault="004938E8">
      <w:pPr>
        <w:pStyle w:val="Testonotadichiusura"/>
        <w:rPr>
          <w:lang w:val="en-US"/>
        </w:rPr>
      </w:pPr>
    </w:p>
  </w:endnote>
  <w:endnote w:id="7">
    <w:p w14:paraId="54B7B1A9" w14:textId="0469700A" w:rsidR="00B51545" w:rsidRPr="0072132A" w:rsidRDefault="00B51545"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Joseph, R.A.; Ajitkumar, S.; Balaji, S.K.; Santhanakrishnan, M. Evaluation of Microbial Profile in Patients with Polycystic Ovary Syndrome and Periodontal Disease: A Case-Control Study. </w:t>
      </w:r>
      <w:r w:rsidRPr="0072132A">
        <w:rPr>
          <w:i/>
          <w:iCs/>
          <w:sz w:val="18"/>
          <w:szCs w:val="18"/>
          <w:lang w:val="en-US"/>
        </w:rPr>
        <w:t>Int. J. Fertil. Steril.</w:t>
      </w:r>
      <w:r w:rsidRPr="0072132A">
        <w:rPr>
          <w:sz w:val="18"/>
          <w:szCs w:val="18"/>
          <w:lang w:val="en-US"/>
        </w:rPr>
        <w:t> </w:t>
      </w:r>
      <w:r w:rsidRPr="0072132A">
        <w:rPr>
          <w:b/>
          <w:bCs/>
          <w:sz w:val="18"/>
          <w:szCs w:val="18"/>
          <w:lang w:val="en-US"/>
        </w:rPr>
        <w:t>2023</w:t>
      </w:r>
      <w:r w:rsidRPr="0072132A">
        <w:rPr>
          <w:sz w:val="18"/>
          <w:szCs w:val="18"/>
          <w:lang w:val="en-US"/>
        </w:rPr>
        <w:t>, </w:t>
      </w:r>
      <w:r w:rsidRPr="0072132A">
        <w:rPr>
          <w:i/>
          <w:iCs/>
          <w:sz w:val="18"/>
          <w:szCs w:val="18"/>
          <w:lang w:val="en-US"/>
        </w:rPr>
        <w:t>17</w:t>
      </w:r>
      <w:r w:rsidRPr="0072132A">
        <w:rPr>
          <w:sz w:val="18"/>
          <w:szCs w:val="18"/>
          <w:lang w:val="en-US"/>
        </w:rPr>
        <w:t>, 248–253.</w:t>
      </w:r>
    </w:p>
    <w:p w14:paraId="6772CFCB" w14:textId="77777777" w:rsidR="00B51545" w:rsidRPr="0072132A" w:rsidRDefault="00B51545" w:rsidP="0072132A">
      <w:pPr>
        <w:pStyle w:val="Testonotadichiusura"/>
        <w:jc w:val="both"/>
        <w:rPr>
          <w:sz w:val="18"/>
          <w:szCs w:val="18"/>
          <w:lang w:val="en-US"/>
        </w:rPr>
      </w:pPr>
    </w:p>
  </w:endnote>
  <w:endnote w:id="8">
    <w:p w14:paraId="331FABC0" w14:textId="7123873D" w:rsidR="00B51545" w:rsidRPr="0072132A" w:rsidRDefault="00B51545"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Huddleston, H.G.; Dokras, A. Diagnosis and Treatment of Polycystic Ovary Syndrome. </w:t>
      </w:r>
      <w:r w:rsidRPr="0072132A">
        <w:rPr>
          <w:i/>
          <w:iCs/>
          <w:sz w:val="18"/>
          <w:szCs w:val="18"/>
          <w:lang w:val="en-US"/>
        </w:rPr>
        <w:t>JAMA</w:t>
      </w:r>
      <w:r w:rsidRPr="0072132A">
        <w:rPr>
          <w:sz w:val="18"/>
          <w:szCs w:val="18"/>
          <w:lang w:val="en-US"/>
        </w:rPr>
        <w:t> </w:t>
      </w:r>
      <w:r w:rsidRPr="0072132A">
        <w:rPr>
          <w:b/>
          <w:bCs/>
          <w:sz w:val="18"/>
          <w:szCs w:val="18"/>
          <w:lang w:val="en-US"/>
        </w:rPr>
        <w:t>2022</w:t>
      </w:r>
      <w:r w:rsidRPr="0072132A">
        <w:rPr>
          <w:sz w:val="18"/>
          <w:szCs w:val="18"/>
          <w:lang w:val="en-US"/>
        </w:rPr>
        <w:t>, </w:t>
      </w:r>
      <w:r w:rsidRPr="0072132A">
        <w:rPr>
          <w:i/>
          <w:iCs/>
          <w:sz w:val="18"/>
          <w:szCs w:val="18"/>
          <w:lang w:val="en-US"/>
        </w:rPr>
        <w:t>327</w:t>
      </w:r>
      <w:r w:rsidRPr="0072132A">
        <w:rPr>
          <w:sz w:val="18"/>
          <w:szCs w:val="18"/>
          <w:lang w:val="en-US"/>
        </w:rPr>
        <w:t xml:space="preserve">, 274–275. </w:t>
      </w:r>
    </w:p>
    <w:p w14:paraId="709D8A7B" w14:textId="77777777" w:rsidR="00B51545" w:rsidRPr="0072132A" w:rsidRDefault="00B51545" w:rsidP="0072132A">
      <w:pPr>
        <w:pStyle w:val="Testonotadichiusura"/>
        <w:jc w:val="both"/>
        <w:rPr>
          <w:sz w:val="18"/>
          <w:szCs w:val="18"/>
          <w:lang w:val="en-US"/>
        </w:rPr>
      </w:pPr>
    </w:p>
  </w:endnote>
  <w:endnote w:id="9">
    <w:p w14:paraId="290CADB2" w14:textId="313720FA" w:rsidR="00B51545" w:rsidRPr="00AD5E77" w:rsidRDefault="00B51545"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Machado VM, Tavares AM, Lopes FF, et al. Periodontitis and female infertility: a systematic review. </w:t>
      </w:r>
      <w:r w:rsidRPr="00AD5E77">
        <w:rPr>
          <w:i/>
          <w:iCs/>
          <w:sz w:val="18"/>
          <w:szCs w:val="18"/>
          <w:lang w:val="en-US"/>
        </w:rPr>
        <w:t>J Obstet Gynaecol Res</w:t>
      </w:r>
      <w:r w:rsidRPr="00AD5E77">
        <w:rPr>
          <w:sz w:val="18"/>
          <w:szCs w:val="18"/>
          <w:lang w:val="en-US"/>
        </w:rPr>
        <w:t>. 2020;46(10):1892-901. doi:10.1111/jog.14391.</w:t>
      </w:r>
    </w:p>
    <w:p w14:paraId="68F8F0B4" w14:textId="77777777" w:rsidR="00B51545" w:rsidRPr="00AD5E77" w:rsidRDefault="00B51545" w:rsidP="0072132A">
      <w:pPr>
        <w:pStyle w:val="Testonotadichiusura"/>
        <w:jc w:val="both"/>
        <w:rPr>
          <w:sz w:val="18"/>
          <w:szCs w:val="18"/>
          <w:lang w:val="en-US"/>
        </w:rPr>
      </w:pPr>
    </w:p>
  </w:endnote>
  <w:endnote w:id="10">
    <w:p w14:paraId="105BDA12" w14:textId="77777777" w:rsidR="00C355AF" w:rsidRPr="0072132A" w:rsidRDefault="00C355AF" w:rsidP="00C355AF">
      <w:pPr>
        <w:pStyle w:val="Testonotadichiusura"/>
        <w:jc w:val="both"/>
        <w:rPr>
          <w:sz w:val="18"/>
          <w:szCs w:val="18"/>
          <w:lang w:val="en-US"/>
        </w:rPr>
      </w:pPr>
      <w:r>
        <w:rPr>
          <w:rStyle w:val="Rimandonotadichiusura"/>
        </w:rPr>
        <w:endnoteRef/>
      </w:r>
      <w:r w:rsidRPr="00C355AF">
        <w:rPr>
          <w:lang w:val="en-US"/>
        </w:rPr>
        <w:t xml:space="preserve"> </w:t>
      </w:r>
      <w:r w:rsidRPr="0072132A">
        <w:rPr>
          <w:sz w:val="18"/>
          <w:szCs w:val="18"/>
          <w:lang w:val="en-US"/>
        </w:rPr>
        <w:t>Angiolani, F.; Gerardi, D.; Bernardi, S.; Torge, D.; Bianchi, S.; Piattelli, M.; Varvara, G. Bidirectional Relationship Between Periodontal Disease and Reproductive Disorders: Focus on Polycystic Ovary Syndrome. </w:t>
      </w:r>
      <w:r w:rsidRPr="0072132A">
        <w:rPr>
          <w:i/>
          <w:iCs/>
          <w:sz w:val="18"/>
          <w:szCs w:val="18"/>
          <w:lang w:val="en-US"/>
        </w:rPr>
        <w:t>Oral</w:t>
      </w:r>
      <w:r w:rsidRPr="0072132A">
        <w:rPr>
          <w:sz w:val="18"/>
          <w:szCs w:val="18"/>
          <w:lang w:val="en-US"/>
        </w:rPr>
        <w:t> </w:t>
      </w:r>
      <w:r w:rsidRPr="0072132A">
        <w:rPr>
          <w:b/>
          <w:bCs/>
          <w:sz w:val="18"/>
          <w:szCs w:val="18"/>
          <w:lang w:val="en-US"/>
        </w:rPr>
        <w:t>2025</w:t>
      </w:r>
      <w:r w:rsidRPr="0072132A">
        <w:rPr>
          <w:sz w:val="18"/>
          <w:szCs w:val="18"/>
          <w:lang w:val="en-US"/>
        </w:rPr>
        <w:t>, </w:t>
      </w:r>
      <w:r w:rsidRPr="0072132A">
        <w:rPr>
          <w:i/>
          <w:iCs/>
          <w:sz w:val="18"/>
          <w:szCs w:val="18"/>
          <w:lang w:val="en-US"/>
        </w:rPr>
        <w:t>5</w:t>
      </w:r>
      <w:r w:rsidRPr="0072132A">
        <w:rPr>
          <w:sz w:val="18"/>
          <w:szCs w:val="18"/>
          <w:lang w:val="en-US"/>
        </w:rPr>
        <w:t xml:space="preserve">, 67. </w:t>
      </w:r>
      <w:r>
        <w:fldChar w:fldCharType="begin"/>
      </w:r>
      <w:r w:rsidRPr="009F2082">
        <w:rPr>
          <w:lang w:val="en-US"/>
        </w:rPr>
        <w:instrText>HYPERLINK "https://doi.org/10.3390/oral5030067"</w:instrText>
      </w:r>
      <w:r>
        <w:fldChar w:fldCharType="separate"/>
      </w:r>
      <w:r w:rsidRPr="0072132A">
        <w:rPr>
          <w:rStyle w:val="Collegamentoipertestuale"/>
          <w:sz w:val="18"/>
          <w:szCs w:val="18"/>
          <w:lang w:val="en-US"/>
        </w:rPr>
        <w:t>https://doi.org/10.3390/oral5030067</w:t>
      </w:r>
      <w:r>
        <w:rPr>
          <w:rStyle w:val="Collegamentoipertestuale"/>
          <w:sz w:val="18"/>
          <w:szCs w:val="18"/>
          <w:lang w:val="en-US"/>
        </w:rPr>
        <w:fldChar w:fldCharType="end"/>
      </w:r>
    </w:p>
    <w:p w14:paraId="15E1F1D8" w14:textId="2EC99E4F" w:rsidR="00C355AF" w:rsidRPr="00C355AF" w:rsidRDefault="00C355AF">
      <w:pPr>
        <w:pStyle w:val="Testonotadichiusura"/>
        <w:rPr>
          <w:lang w:val="en-US"/>
        </w:rPr>
      </w:pPr>
    </w:p>
  </w:endnote>
  <w:endnote w:id="11">
    <w:p w14:paraId="2317437B" w14:textId="01841069" w:rsidR="00B51545" w:rsidRPr="0072132A" w:rsidRDefault="00B51545"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Thomas V, Bhat KG, Katti S, Kushtagi P. Periodontal disease and reproductive health: an observational study among women with endometriosis. </w:t>
      </w:r>
      <w:r w:rsidRPr="0072132A">
        <w:rPr>
          <w:i/>
          <w:iCs/>
          <w:sz w:val="18"/>
          <w:szCs w:val="18"/>
          <w:lang w:val="en-US"/>
        </w:rPr>
        <w:t>J Hum Reprod Sci</w:t>
      </w:r>
      <w:r w:rsidRPr="0072132A">
        <w:rPr>
          <w:sz w:val="18"/>
          <w:szCs w:val="18"/>
          <w:lang w:val="en-US"/>
        </w:rPr>
        <w:t>. 2018;11(3):256-61. doi:10.4103/jhrs.JHRS_138_18.</w:t>
      </w:r>
    </w:p>
    <w:p w14:paraId="1939DC8C" w14:textId="77777777" w:rsidR="00B51545" w:rsidRPr="0072132A" w:rsidRDefault="00B51545" w:rsidP="0072132A">
      <w:pPr>
        <w:pStyle w:val="Testonotadichiusura"/>
        <w:jc w:val="both"/>
        <w:rPr>
          <w:sz w:val="18"/>
          <w:szCs w:val="18"/>
          <w:lang w:val="en-US"/>
        </w:rPr>
      </w:pPr>
    </w:p>
  </w:endnote>
  <w:endnote w:id="12">
    <w:p w14:paraId="42C7EC73" w14:textId="51A29A40" w:rsidR="00B51545" w:rsidRPr="00AD5E77" w:rsidRDefault="00B51545"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Jin B, Chen Y, Li Z, Zhang H, Li Y, Zhao Q, et al. Periodontitis and peritoneal endometriosis: a bidirectional causal relationship? A two-sample Mendelian randomization study. </w:t>
      </w:r>
      <w:r w:rsidRPr="0072132A">
        <w:rPr>
          <w:i/>
          <w:iCs/>
          <w:sz w:val="18"/>
          <w:szCs w:val="18"/>
          <w:lang w:val="en-US"/>
        </w:rPr>
        <w:t>Front Immunol</w:t>
      </w:r>
      <w:r w:rsidRPr="0072132A">
        <w:rPr>
          <w:sz w:val="18"/>
          <w:szCs w:val="18"/>
          <w:lang w:val="en-US"/>
        </w:rPr>
        <w:t>. 2024;15:1423079. doi:10.3389/fimmu.2024.1423079</w:t>
      </w:r>
    </w:p>
    <w:p w14:paraId="0AC5D0A8" w14:textId="77777777" w:rsidR="00B51545" w:rsidRPr="0072132A" w:rsidRDefault="00B51545" w:rsidP="0072132A">
      <w:pPr>
        <w:pStyle w:val="Testonotadichiusura"/>
        <w:jc w:val="both"/>
        <w:rPr>
          <w:sz w:val="18"/>
          <w:szCs w:val="18"/>
          <w:lang w:val="en-US"/>
        </w:rPr>
      </w:pPr>
    </w:p>
  </w:endnote>
  <w:endnote w:id="13">
    <w:p w14:paraId="03D48F2C" w14:textId="07923E49" w:rsidR="000173F0" w:rsidRPr="00AD5E77" w:rsidRDefault="000173F0" w:rsidP="0072132A">
      <w:pPr>
        <w:pStyle w:val="Testonotadichiusura"/>
        <w:jc w:val="both"/>
        <w:rPr>
          <w:sz w:val="18"/>
          <w:szCs w:val="18"/>
        </w:rPr>
      </w:pPr>
      <w:r w:rsidRPr="0072132A">
        <w:rPr>
          <w:rStyle w:val="Rimandonotadichiusura"/>
          <w:sz w:val="18"/>
          <w:szCs w:val="18"/>
        </w:rPr>
        <w:endnoteRef/>
      </w:r>
      <w:r w:rsidRPr="0072132A">
        <w:rPr>
          <w:sz w:val="18"/>
          <w:szCs w:val="18"/>
          <w:lang w:val="en-US"/>
        </w:rPr>
        <w:t xml:space="preserve"> Bianchi, S.; Bernardi, S.; Mattei, A.; Cristiano, L.; Mancini, L.; Torge, D.; Varvara, G.; Macchiarelli, G.; Marchetti, E. Morphological and Biological Evaluations of Human Periodontal Ligament Fibroblasts in Contact with Different Bovine Bone Grafts Treated with Low-Temperature Deproteinisation Protocol. </w:t>
      </w:r>
      <w:r w:rsidRPr="00AD5E77">
        <w:rPr>
          <w:i/>
          <w:iCs/>
          <w:sz w:val="18"/>
          <w:szCs w:val="18"/>
        </w:rPr>
        <w:t>Int. J. Mol. Sci.</w:t>
      </w:r>
      <w:r w:rsidRPr="00AD5E77">
        <w:rPr>
          <w:sz w:val="18"/>
          <w:szCs w:val="18"/>
        </w:rPr>
        <w:t> </w:t>
      </w:r>
      <w:r w:rsidRPr="00AD5E77">
        <w:rPr>
          <w:b/>
          <w:bCs/>
          <w:sz w:val="18"/>
          <w:szCs w:val="18"/>
        </w:rPr>
        <w:t>2022</w:t>
      </w:r>
      <w:r w:rsidRPr="00AD5E77">
        <w:rPr>
          <w:sz w:val="18"/>
          <w:szCs w:val="18"/>
        </w:rPr>
        <w:t>, </w:t>
      </w:r>
      <w:r w:rsidRPr="00AD5E77">
        <w:rPr>
          <w:i/>
          <w:iCs/>
          <w:sz w:val="18"/>
          <w:szCs w:val="18"/>
        </w:rPr>
        <w:t>23</w:t>
      </w:r>
      <w:r w:rsidRPr="00AD5E77">
        <w:rPr>
          <w:sz w:val="18"/>
          <w:szCs w:val="18"/>
        </w:rPr>
        <w:t>, 5273</w:t>
      </w:r>
    </w:p>
    <w:p w14:paraId="7154E888" w14:textId="77777777" w:rsidR="000173F0" w:rsidRPr="00AD5E77" w:rsidRDefault="000173F0" w:rsidP="0072132A">
      <w:pPr>
        <w:pStyle w:val="Testonotadichiusura"/>
        <w:jc w:val="both"/>
        <w:rPr>
          <w:sz w:val="18"/>
          <w:szCs w:val="18"/>
        </w:rPr>
      </w:pPr>
    </w:p>
  </w:endnote>
  <w:endnote w:id="14">
    <w:p w14:paraId="186474B7" w14:textId="106C2CD9" w:rsidR="000173F0" w:rsidRPr="0072132A" w:rsidRDefault="000173F0" w:rsidP="0072132A">
      <w:pPr>
        <w:pStyle w:val="Testonotadichiusura"/>
        <w:jc w:val="both"/>
        <w:rPr>
          <w:sz w:val="18"/>
          <w:szCs w:val="18"/>
          <w:lang w:val="en-US"/>
        </w:rPr>
      </w:pPr>
      <w:r w:rsidRPr="0072132A">
        <w:rPr>
          <w:rStyle w:val="Rimandonotadichiusura"/>
          <w:sz w:val="18"/>
          <w:szCs w:val="18"/>
        </w:rPr>
        <w:endnoteRef/>
      </w:r>
      <w:r w:rsidRPr="0072132A">
        <w:rPr>
          <w:sz w:val="18"/>
          <w:szCs w:val="18"/>
        </w:rPr>
        <w:t xml:space="preserve"> Belli M, Palmerini MG, Bianchi S, Bernardi S, Khalili MA, Nottola SA, et al. </w:t>
      </w:r>
      <w:r w:rsidRPr="0072132A">
        <w:rPr>
          <w:sz w:val="18"/>
          <w:szCs w:val="18"/>
          <w:lang w:val="en-US"/>
        </w:rPr>
        <w:t xml:space="preserve">Ultrastructure of mitochondria of human oocytes in different clinical conditions during assisted reproduction. </w:t>
      </w:r>
      <w:r w:rsidRPr="0072132A">
        <w:rPr>
          <w:i/>
          <w:iCs/>
          <w:sz w:val="18"/>
          <w:szCs w:val="18"/>
          <w:lang w:val="en-US"/>
        </w:rPr>
        <w:t>Arch Biochem Biophys</w:t>
      </w:r>
      <w:r w:rsidRPr="0072132A">
        <w:rPr>
          <w:sz w:val="18"/>
          <w:szCs w:val="18"/>
          <w:lang w:val="en-US"/>
        </w:rPr>
        <w:t>. 2021;703:108854. doi:10.1016/j.abb.2021.108854.</w:t>
      </w:r>
    </w:p>
    <w:p w14:paraId="4D6E36CF" w14:textId="77777777" w:rsidR="000173F0" w:rsidRPr="0072132A" w:rsidRDefault="000173F0" w:rsidP="0072132A">
      <w:pPr>
        <w:pStyle w:val="Testonotadichiusura"/>
        <w:jc w:val="both"/>
        <w:rPr>
          <w:sz w:val="18"/>
          <w:szCs w:val="18"/>
          <w:lang w:val="en-US"/>
        </w:rPr>
      </w:pPr>
    </w:p>
  </w:endnote>
  <w:endnote w:id="15">
    <w:p w14:paraId="3B83F908" w14:textId="44EB141D" w:rsidR="000173F0" w:rsidRPr="0072132A" w:rsidRDefault="000173F0"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Palmerini MG, Belli M, Nottola SA, Bianchi S, Cecconi S, Macchiarelli G. Mancozeb impairs the ultrastructure of mouse granulosa cells in a dose-dependent manner. </w:t>
      </w:r>
      <w:r w:rsidRPr="0072132A">
        <w:rPr>
          <w:i/>
          <w:iCs/>
          <w:sz w:val="18"/>
          <w:szCs w:val="18"/>
          <w:lang w:val="en-US"/>
        </w:rPr>
        <w:t>J Reprod Dev</w:t>
      </w:r>
      <w:r w:rsidRPr="0072132A">
        <w:rPr>
          <w:sz w:val="18"/>
          <w:szCs w:val="18"/>
          <w:lang w:val="en-US"/>
        </w:rPr>
        <w:t>. 2018;64(1):75-82. doi:10.1262/jrd.2017-143.</w:t>
      </w:r>
    </w:p>
    <w:p w14:paraId="73ADA302" w14:textId="77777777" w:rsidR="000173F0" w:rsidRPr="0072132A" w:rsidRDefault="000173F0" w:rsidP="0072132A">
      <w:pPr>
        <w:pStyle w:val="Testonotadichiusura"/>
        <w:jc w:val="both"/>
        <w:rPr>
          <w:sz w:val="18"/>
          <w:szCs w:val="18"/>
          <w:lang w:val="en-US"/>
        </w:rPr>
      </w:pPr>
    </w:p>
  </w:endnote>
  <w:endnote w:id="16">
    <w:p w14:paraId="0CC78412" w14:textId="301230E8" w:rsidR="0072132A" w:rsidRPr="0072132A" w:rsidRDefault="0072132A"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Bianchi S, Nottola SA, Torge D, Palmerini MG, Macchiarelli G, Cecconi S. Association between female reproductive health and mancozeb: systematic review of experimental models. </w:t>
      </w:r>
      <w:r w:rsidRPr="0072132A">
        <w:rPr>
          <w:i/>
          <w:iCs/>
          <w:sz w:val="18"/>
          <w:szCs w:val="18"/>
          <w:lang w:val="en-US"/>
        </w:rPr>
        <w:t>Int J Environ Res Public Health</w:t>
      </w:r>
      <w:r w:rsidRPr="0072132A">
        <w:rPr>
          <w:sz w:val="18"/>
          <w:szCs w:val="18"/>
          <w:lang w:val="en-US"/>
        </w:rPr>
        <w:t>. 2020;17(7):2580. doi:10.3390/ijerph17072580.</w:t>
      </w:r>
    </w:p>
    <w:p w14:paraId="5128295C" w14:textId="77777777" w:rsidR="0072132A" w:rsidRPr="0072132A" w:rsidRDefault="0072132A" w:rsidP="0072132A">
      <w:pPr>
        <w:pStyle w:val="Testonotadichiusura"/>
        <w:jc w:val="both"/>
        <w:rPr>
          <w:sz w:val="18"/>
          <w:szCs w:val="18"/>
          <w:lang w:val="en-US"/>
        </w:rPr>
      </w:pPr>
    </w:p>
  </w:endnote>
  <w:endnote w:id="17">
    <w:p w14:paraId="5AA6B250" w14:textId="0A6907C5" w:rsidR="0072132A" w:rsidRPr="0072132A" w:rsidRDefault="0072132A" w:rsidP="0072132A">
      <w:pPr>
        <w:pStyle w:val="Testonotadichiusura"/>
        <w:jc w:val="both"/>
        <w:rPr>
          <w:sz w:val="18"/>
          <w:szCs w:val="18"/>
          <w:lang w:val="en-US"/>
        </w:rPr>
      </w:pPr>
      <w:r w:rsidRPr="0072132A">
        <w:rPr>
          <w:rStyle w:val="Rimandonotadichiusura"/>
          <w:sz w:val="18"/>
          <w:szCs w:val="18"/>
        </w:rPr>
        <w:endnoteRef/>
      </w:r>
      <w:r w:rsidRPr="0072132A">
        <w:rPr>
          <w:sz w:val="18"/>
          <w:szCs w:val="18"/>
          <w:lang w:val="en-US"/>
        </w:rPr>
        <w:t xml:space="preserve"> Hicks SD, Sun L, Kennedy R, Bhattacharya S, Lane CE, Zhang Y, et al. Oral, vaginal, and stool microbial signatures in patients with endometriosis as potential diagnostic biomarkers. </w:t>
      </w:r>
      <w:r w:rsidRPr="0072132A">
        <w:rPr>
          <w:i/>
          <w:iCs/>
          <w:sz w:val="18"/>
          <w:szCs w:val="18"/>
          <w:lang w:val="en-US"/>
        </w:rPr>
        <w:t>BJOG</w:t>
      </w:r>
      <w:r w:rsidRPr="0072132A">
        <w:rPr>
          <w:sz w:val="18"/>
          <w:szCs w:val="18"/>
          <w:lang w:val="en-US"/>
        </w:rPr>
        <w:t>. 2025;132(5):651-60. doi:10.1111/1471-0528.17890.</w:t>
      </w:r>
    </w:p>
    <w:p w14:paraId="3044C415" w14:textId="77777777" w:rsidR="0072132A" w:rsidRPr="0072132A" w:rsidRDefault="0072132A" w:rsidP="0072132A">
      <w:pPr>
        <w:pStyle w:val="Testonotadichiusura"/>
        <w:jc w:val="both"/>
        <w:rPr>
          <w:lang w:val="en-US"/>
        </w:rPr>
      </w:pPr>
    </w:p>
  </w:endnote>
  <w:endnote w:id="18">
    <w:p w14:paraId="7146EA91" w14:textId="01077213" w:rsidR="0072132A" w:rsidRPr="00AD5E77" w:rsidRDefault="0072132A" w:rsidP="0072132A">
      <w:pPr>
        <w:pStyle w:val="Testonotadichiusura"/>
        <w:jc w:val="both"/>
        <w:rPr>
          <w:sz w:val="18"/>
          <w:szCs w:val="18"/>
        </w:rPr>
      </w:pPr>
      <w:r w:rsidRPr="0072132A">
        <w:rPr>
          <w:rStyle w:val="Rimandonotadichiusura"/>
          <w:sz w:val="18"/>
          <w:szCs w:val="18"/>
        </w:rPr>
        <w:endnoteRef/>
      </w:r>
      <w:r w:rsidRPr="0072132A">
        <w:rPr>
          <w:sz w:val="18"/>
          <w:szCs w:val="18"/>
          <w:lang w:val="en-US"/>
        </w:rPr>
        <w:t xml:space="preserve"> Muraoka H, Tsubokura H, Takahashi H, Yamamoto T, Komiyama S, Fukuda S, et al. </w:t>
      </w:r>
      <w:r w:rsidRPr="0072132A">
        <w:rPr>
          <w:i/>
          <w:iCs/>
          <w:sz w:val="18"/>
          <w:szCs w:val="18"/>
          <w:lang w:val="en-US"/>
        </w:rPr>
        <w:t>Fusobacterium nucleatum</w:t>
      </w:r>
      <w:r w:rsidRPr="0072132A">
        <w:rPr>
          <w:sz w:val="18"/>
          <w:szCs w:val="18"/>
          <w:lang w:val="en-US"/>
        </w:rPr>
        <w:t xml:space="preserve"> accelerates endometriosis development in mice by inducing epithelial-mesenchymal transition. </w:t>
      </w:r>
      <w:r w:rsidRPr="0072132A">
        <w:rPr>
          <w:i/>
          <w:iCs/>
          <w:sz w:val="18"/>
          <w:szCs w:val="18"/>
        </w:rPr>
        <w:t>Sci Transl Med</w:t>
      </w:r>
      <w:r w:rsidRPr="0072132A">
        <w:rPr>
          <w:sz w:val="18"/>
          <w:szCs w:val="18"/>
        </w:rPr>
        <w:t>. 2023;15(702):eadd1531. doi:10.1126/scitranslmed.add1531.</w:t>
      </w:r>
    </w:p>
    <w:p w14:paraId="7D3FD348" w14:textId="77777777" w:rsidR="0072132A" w:rsidRPr="00AD5E77" w:rsidRDefault="0072132A" w:rsidP="0072132A">
      <w:pPr>
        <w:pStyle w:val="Testonotadichiusura"/>
        <w:jc w:val="both"/>
        <w:rPr>
          <w:sz w:val="18"/>
          <w:szCs w:val="18"/>
        </w:rPr>
      </w:pPr>
    </w:p>
  </w:endnote>
  <w:endnote w:id="19">
    <w:p w14:paraId="57B7E8FD" w14:textId="5156910D" w:rsidR="0072132A" w:rsidRPr="0072132A" w:rsidRDefault="0072132A" w:rsidP="0072132A">
      <w:pPr>
        <w:pStyle w:val="Testonotadichiusura"/>
        <w:jc w:val="both"/>
        <w:rPr>
          <w:sz w:val="18"/>
          <w:szCs w:val="18"/>
          <w:lang w:val="en-US"/>
        </w:rPr>
      </w:pPr>
      <w:r w:rsidRPr="0072132A">
        <w:rPr>
          <w:rStyle w:val="Rimandonotadichiusura"/>
          <w:sz w:val="18"/>
          <w:szCs w:val="18"/>
        </w:rPr>
        <w:endnoteRef/>
      </w:r>
      <w:r w:rsidRPr="0072132A">
        <w:rPr>
          <w:sz w:val="18"/>
          <w:szCs w:val="18"/>
        </w:rPr>
        <w:t xml:space="preserve"> Placidi M, Casoli G, Vergara T, Muzii L, Porpora MG, Ludovisi M, et al. </w:t>
      </w:r>
      <w:r w:rsidRPr="0072132A">
        <w:rPr>
          <w:sz w:val="18"/>
          <w:szCs w:val="18"/>
          <w:lang w:val="en-US"/>
        </w:rPr>
        <w:t xml:space="preserve">D-chiro-inositol effectively counteracts endometriosis in a mouse model. </w:t>
      </w:r>
      <w:r w:rsidRPr="0072132A">
        <w:rPr>
          <w:i/>
          <w:iCs/>
          <w:sz w:val="18"/>
          <w:szCs w:val="18"/>
          <w:lang w:val="en-US"/>
        </w:rPr>
        <w:t>Mol Med</w:t>
      </w:r>
      <w:r w:rsidRPr="0072132A">
        <w:rPr>
          <w:sz w:val="18"/>
          <w:szCs w:val="18"/>
          <w:lang w:val="en-US"/>
        </w:rPr>
        <w:t>. 2025;31:134. doi:10.1186/s10020-025-01178-6</w:t>
      </w:r>
    </w:p>
    <w:p w14:paraId="64DEF05C" w14:textId="77777777" w:rsidR="0072132A" w:rsidRPr="0072132A" w:rsidRDefault="0072132A" w:rsidP="0072132A">
      <w:pPr>
        <w:pStyle w:val="Testonotadichiusura"/>
        <w:jc w:val="both"/>
        <w:rPr>
          <w:lang w:val="en-US"/>
        </w:rPr>
      </w:pPr>
    </w:p>
  </w:endnote>
  <w:endnote w:id="20">
    <w:p w14:paraId="2571690B" w14:textId="003F5C6B" w:rsidR="001A63D6" w:rsidRDefault="001A63D6" w:rsidP="001A63D6">
      <w:pPr>
        <w:pStyle w:val="Testonotadichiusura"/>
        <w:jc w:val="both"/>
        <w:rPr>
          <w:sz w:val="18"/>
          <w:szCs w:val="18"/>
          <w:lang w:val="en-US"/>
        </w:rPr>
      </w:pPr>
      <w:r>
        <w:rPr>
          <w:rStyle w:val="Rimandonotadichiusura"/>
        </w:rPr>
        <w:endnoteRef/>
      </w:r>
      <w:r w:rsidRPr="001A63D6">
        <w:rPr>
          <w:lang w:val="en-US"/>
        </w:rPr>
        <w:t xml:space="preserve"> </w:t>
      </w:r>
      <w:r w:rsidRPr="001A63D6">
        <w:rPr>
          <w:sz w:val="18"/>
          <w:szCs w:val="18"/>
          <w:lang w:val="en-US"/>
        </w:rPr>
        <w:t xml:space="preserve">Bendifallah S, Suisse S, Puchar A, Delbos L, Poilblanc M, Descamps P, Golfier F, Jornea L, Bouteiller D, Touboul C, Dabi Y, Daraï E. </w:t>
      </w:r>
      <w:r w:rsidRPr="001A63D6">
        <w:rPr>
          <w:i/>
          <w:iCs/>
          <w:sz w:val="18"/>
          <w:szCs w:val="18"/>
          <w:lang w:val="en-US"/>
        </w:rPr>
        <w:t>Salivary MicroRNA Signature for Diagnosis of Endometriosis</w:t>
      </w:r>
      <w:r w:rsidRPr="001A63D6">
        <w:rPr>
          <w:sz w:val="18"/>
          <w:szCs w:val="18"/>
          <w:lang w:val="en-US"/>
        </w:rPr>
        <w:t xml:space="preserve">. </w:t>
      </w:r>
      <w:r w:rsidRPr="00D73971">
        <w:rPr>
          <w:sz w:val="18"/>
          <w:szCs w:val="18"/>
          <w:lang w:val="en-US"/>
        </w:rPr>
        <w:t xml:space="preserve">J Clin Med. </w:t>
      </w:r>
      <w:r w:rsidRPr="00D73971">
        <w:rPr>
          <w:b/>
          <w:bCs/>
          <w:sz w:val="18"/>
          <w:szCs w:val="18"/>
          <w:lang w:val="en-US"/>
        </w:rPr>
        <w:t>2022</w:t>
      </w:r>
      <w:r w:rsidRPr="00D73971">
        <w:rPr>
          <w:sz w:val="18"/>
          <w:szCs w:val="18"/>
          <w:lang w:val="en-US"/>
        </w:rPr>
        <w:t xml:space="preserve"> Jan 26;11(3):612. doi: 10.3390/jcm11030612. PMID: 35160066; PMCID: PMC8836532.</w:t>
      </w:r>
    </w:p>
    <w:p w14:paraId="77DDB239" w14:textId="77777777" w:rsidR="00AB011F" w:rsidRPr="001A63D6" w:rsidRDefault="00AB011F" w:rsidP="001A63D6">
      <w:pPr>
        <w:pStyle w:val="Testonotadichiusura"/>
        <w:jc w:val="both"/>
        <w:rPr>
          <w:lang w:val="en-US"/>
        </w:rPr>
      </w:pPr>
    </w:p>
  </w:endnote>
  <w:endnote w:id="21">
    <w:p w14:paraId="7C713E8F" w14:textId="3C8A9723" w:rsidR="00BD122B" w:rsidRPr="0072132A" w:rsidRDefault="00BD122B"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Łasica A, Golec P, Laskus A, Zalewska M, Gędaj M, Popowska M. </w:t>
      </w:r>
      <w:r w:rsidRPr="0072132A">
        <w:rPr>
          <w:i/>
          <w:iCs/>
          <w:sz w:val="18"/>
          <w:szCs w:val="18"/>
          <w:lang w:val="en-US"/>
        </w:rPr>
        <w:t>Periodontitis: etiology, conventional treatments, and emerging bacteriophage and predatory bacteria therapies.</w:t>
      </w:r>
      <w:r w:rsidRPr="0072132A">
        <w:rPr>
          <w:sz w:val="18"/>
          <w:szCs w:val="18"/>
          <w:lang w:val="en-US"/>
        </w:rPr>
        <w:t xml:space="preserve"> Front Microbiol. </w:t>
      </w:r>
      <w:r w:rsidRPr="0072132A">
        <w:rPr>
          <w:b/>
          <w:bCs/>
          <w:sz w:val="18"/>
          <w:szCs w:val="18"/>
          <w:lang w:val="en-US"/>
        </w:rPr>
        <w:t>2024</w:t>
      </w:r>
      <w:r w:rsidRPr="0072132A">
        <w:rPr>
          <w:sz w:val="18"/>
          <w:szCs w:val="18"/>
          <w:lang w:val="en-US"/>
        </w:rPr>
        <w:t xml:space="preserve"> Sep 26;15:1469414. doi: 10.3389/fmicb.2024.1469414. PMID: 39391608; PMCID: PMC11464445.</w:t>
      </w:r>
    </w:p>
    <w:p w14:paraId="41E4C745" w14:textId="77777777" w:rsidR="00BD122B" w:rsidRPr="0072132A" w:rsidRDefault="00BD122B" w:rsidP="0072132A">
      <w:pPr>
        <w:pStyle w:val="Testonotadichiusura"/>
        <w:jc w:val="both"/>
        <w:rPr>
          <w:lang w:val="en-US"/>
        </w:rPr>
      </w:pPr>
    </w:p>
  </w:endnote>
  <w:endnote w:id="22">
    <w:p w14:paraId="200545A0" w14:textId="4E328EEA" w:rsidR="00BD122B" w:rsidRPr="0072132A" w:rsidRDefault="00BD122B"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Könönen E, Gursoy M, Gursoy UK. </w:t>
      </w:r>
      <w:r w:rsidRPr="0072132A">
        <w:rPr>
          <w:i/>
          <w:iCs/>
          <w:sz w:val="18"/>
          <w:szCs w:val="18"/>
          <w:lang w:val="en-US"/>
        </w:rPr>
        <w:t>Periodontitis: A Multifaceted Disease of Tooth-Supporting Tissues</w:t>
      </w:r>
      <w:r w:rsidRPr="0072132A">
        <w:rPr>
          <w:sz w:val="18"/>
          <w:szCs w:val="18"/>
          <w:lang w:val="en-US"/>
        </w:rPr>
        <w:t xml:space="preserve">. J Clin Med. </w:t>
      </w:r>
      <w:r w:rsidRPr="0072132A">
        <w:rPr>
          <w:b/>
          <w:bCs/>
          <w:sz w:val="18"/>
          <w:szCs w:val="18"/>
          <w:lang w:val="en-US"/>
        </w:rPr>
        <w:t>2019</w:t>
      </w:r>
      <w:r w:rsidRPr="0072132A">
        <w:rPr>
          <w:sz w:val="18"/>
          <w:szCs w:val="18"/>
          <w:lang w:val="en-US"/>
        </w:rPr>
        <w:t xml:space="preserve"> Jul 31;8(8):1135. doi: 10.3390/jcm8081135. PMID: 31370168; PMCID: PMC6723779.</w:t>
      </w:r>
    </w:p>
    <w:p w14:paraId="09E32520" w14:textId="77777777" w:rsidR="00BD122B" w:rsidRPr="0072132A" w:rsidRDefault="00BD122B" w:rsidP="0072132A">
      <w:pPr>
        <w:pStyle w:val="Testonotadichiusura"/>
        <w:jc w:val="both"/>
        <w:rPr>
          <w:b/>
          <w:bCs/>
          <w:lang w:val="en-US"/>
        </w:rPr>
      </w:pPr>
    </w:p>
  </w:endnote>
  <w:endnote w:id="23">
    <w:p w14:paraId="417DECC3" w14:textId="77777777" w:rsidR="00225D52" w:rsidRPr="00AD5E77" w:rsidRDefault="00225D52"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Chmielewski M, Pilloni A, Cuozzo A, D'Albis G, D'Elia G, Papi P, Marini L. </w:t>
      </w:r>
      <w:r w:rsidRPr="0072132A">
        <w:rPr>
          <w:i/>
          <w:iCs/>
          <w:sz w:val="18"/>
          <w:szCs w:val="18"/>
          <w:lang w:val="en-US"/>
        </w:rPr>
        <w:t>The 2018 Classification of Periodontitis: Challenges from Clinical Perspective.</w:t>
      </w:r>
      <w:r w:rsidRPr="0072132A">
        <w:rPr>
          <w:sz w:val="18"/>
          <w:szCs w:val="18"/>
          <w:lang w:val="en-US"/>
        </w:rPr>
        <w:t xml:space="preserve"> </w:t>
      </w:r>
      <w:r w:rsidRPr="00AD5E77">
        <w:rPr>
          <w:sz w:val="18"/>
          <w:szCs w:val="18"/>
          <w:lang w:val="en-US"/>
        </w:rPr>
        <w:t xml:space="preserve">Dent J (Basel). </w:t>
      </w:r>
      <w:r w:rsidRPr="00AD5E77">
        <w:rPr>
          <w:b/>
          <w:bCs/>
          <w:sz w:val="18"/>
          <w:szCs w:val="18"/>
          <w:lang w:val="en-US"/>
        </w:rPr>
        <w:t>2025</w:t>
      </w:r>
      <w:r w:rsidRPr="00AD5E77">
        <w:rPr>
          <w:sz w:val="18"/>
          <w:szCs w:val="18"/>
          <w:lang w:val="en-US"/>
        </w:rPr>
        <w:t xml:space="preserve"> Aug 8;13(8):361. doi: 10.3390/dj13080361. PMID: 40863064; PMCID: PMC12385251.</w:t>
      </w:r>
    </w:p>
    <w:p w14:paraId="2FA1015B" w14:textId="3171C126" w:rsidR="00225D52" w:rsidRPr="00AD5E77" w:rsidRDefault="00225D52" w:rsidP="0072132A">
      <w:pPr>
        <w:pStyle w:val="Testonotadichiusura"/>
        <w:jc w:val="both"/>
        <w:rPr>
          <w:lang w:val="en-US"/>
        </w:rPr>
      </w:pPr>
    </w:p>
  </w:endnote>
  <w:endnote w:id="24">
    <w:p w14:paraId="45BF88AF" w14:textId="269FCA43" w:rsidR="00EF6AAA" w:rsidRPr="006704DB" w:rsidRDefault="00EF6AAA" w:rsidP="006704DB">
      <w:pPr>
        <w:pStyle w:val="Testonotadichiusura"/>
        <w:jc w:val="both"/>
        <w:rPr>
          <w:lang w:val="en-US"/>
        </w:rPr>
      </w:pPr>
      <w:r>
        <w:rPr>
          <w:rStyle w:val="Rimandonotadichiusura"/>
        </w:rPr>
        <w:endnoteRef/>
      </w:r>
      <w:r w:rsidRPr="00AD5E77">
        <w:rPr>
          <w:lang w:val="en-US"/>
        </w:rPr>
        <w:t xml:space="preserve"> </w:t>
      </w:r>
      <w:r w:rsidR="006704DB" w:rsidRPr="00AD5E77">
        <w:rPr>
          <w:sz w:val="18"/>
          <w:szCs w:val="18"/>
          <w:lang w:val="en-US"/>
        </w:rPr>
        <w:t xml:space="preserve">Eke PI, Wei L, Borgnakke WS, Thornton-Evans G, Zhang X, Lu H, McGuire LC, Genco RJ. </w:t>
      </w:r>
      <w:r w:rsidR="006704DB" w:rsidRPr="006704DB">
        <w:rPr>
          <w:i/>
          <w:iCs/>
          <w:sz w:val="18"/>
          <w:szCs w:val="18"/>
          <w:lang w:val="en-US"/>
        </w:rPr>
        <w:t>Periodontitis prevalence in adults ≥ 65 years of age, in the USA.</w:t>
      </w:r>
      <w:r w:rsidR="006704DB" w:rsidRPr="006704DB">
        <w:rPr>
          <w:sz w:val="18"/>
          <w:szCs w:val="18"/>
          <w:lang w:val="en-US"/>
        </w:rPr>
        <w:t xml:space="preserve"> Periodontol </w:t>
      </w:r>
      <w:r w:rsidR="006704DB" w:rsidRPr="006704DB">
        <w:rPr>
          <w:b/>
          <w:bCs/>
          <w:sz w:val="18"/>
          <w:szCs w:val="18"/>
          <w:lang w:val="en-US"/>
        </w:rPr>
        <w:t>2000</w:t>
      </w:r>
      <w:r w:rsidR="006704DB" w:rsidRPr="006704DB">
        <w:rPr>
          <w:sz w:val="18"/>
          <w:szCs w:val="18"/>
          <w:lang w:val="en-US"/>
        </w:rPr>
        <w:t>. 2016 Oct;72(1):76-95. doi: 10.1111/prd.12145. PMID: 27501492; PMCID: PMC8223257.</w:t>
      </w:r>
    </w:p>
    <w:p w14:paraId="3BA1B59B" w14:textId="77777777" w:rsidR="006704DB" w:rsidRPr="006704DB" w:rsidRDefault="006704DB">
      <w:pPr>
        <w:pStyle w:val="Testonotadichiusura"/>
        <w:rPr>
          <w:lang w:val="en-US"/>
        </w:rPr>
      </w:pPr>
    </w:p>
  </w:endnote>
  <w:endnote w:id="25">
    <w:p w14:paraId="1139AA6E" w14:textId="470CE463" w:rsidR="006704DB" w:rsidRPr="006704DB" w:rsidRDefault="006704DB" w:rsidP="006704DB">
      <w:pPr>
        <w:pStyle w:val="Testonotadichiusura"/>
        <w:jc w:val="both"/>
        <w:rPr>
          <w:lang w:val="en-US"/>
        </w:rPr>
      </w:pPr>
      <w:r>
        <w:rPr>
          <w:rStyle w:val="Rimandonotadichiusura"/>
        </w:rPr>
        <w:endnoteRef/>
      </w:r>
      <w:r w:rsidRPr="006704DB">
        <w:rPr>
          <w:lang w:val="en-US"/>
        </w:rPr>
        <w:t xml:space="preserve"> </w:t>
      </w:r>
      <w:r w:rsidRPr="006704DB">
        <w:rPr>
          <w:sz w:val="18"/>
          <w:szCs w:val="18"/>
          <w:lang w:val="en-US"/>
        </w:rPr>
        <w:t xml:space="preserve">Bertolini M, Clark D. </w:t>
      </w:r>
      <w:r w:rsidRPr="006704DB">
        <w:rPr>
          <w:i/>
          <w:iCs/>
          <w:sz w:val="18"/>
          <w:szCs w:val="18"/>
          <w:lang w:val="en-US"/>
        </w:rPr>
        <w:t>Periodontal disease as a model to study chronic inflammation in aging</w:t>
      </w:r>
      <w:r w:rsidRPr="006704DB">
        <w:rPr>
          <w:sz w:val="18"/>
          <w:szCs w:val="18"/>
          <w:lang w:val="en-US"/>
        </w:rPr>
        <w:t xml:space="preserve">. Geroscience. </w:t>
      </w:r>
      <w:r w:rsidRPr="006704DB">
        <w:rPr>
          <w:b/>
          <w:bCs/>
          <w:sz w:val="18"/>
          <w:szCs w:val="18"/>
          <w:lang w:val="en-US"/>
        </w:rPr>
        <w:t>2024</w:t>
      </w:r>
      <w:r w:rsidRPr="006704DB">
        <w:rPr>
          <w:sz w:val="18"/>
          <w:szCs w:val="18"/>
          <w:lang w:val="en-US"/>
        </w:rPr>
        <w:t xml:space="preserve"> Aug;46(4):3695-3709. doi: 10.1007/s11357-023-00835-0. Epub 2023 Jun 7. PMID: 37285008; PMCID: PMC11226587.</w:t>
      </w:r>
    </w:p>
    <w:p w14:paraId="4A0A4585" w14:textId="77777777" w:rsidR="006704DB" w:rsidRPr="006704DB" w:rsidRDefault="006704DB">
      <w:pPr>
        <w:pStyle w:val="Testonotadichiusura"/>
        <w:rPr>
          <w:lang w:val="en-US"/>
        </w:rPr>
      </w:pPr>
    </w:p>
  </w:endnote>
  <w:endnote w:id="26">
    <w:p w14:paraId="0C136A8E"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Socransky SS, Haffajee AD. </w:t>
      </w:r>
      <w:r w:rsidRPr="0072132A">
        <w:rPr>
          <w:i/>
          <w:iCs/>
          <w:sz w:val="18"/>
          <w:szCs w:val="18"/>
          <w:lang w:val="en-US"/>
        </w:rPr>
        <w:t>The bacterial etiology of destructive periodontal disease: current concepts.</w:t>
      </w:r>
      <w:r w:rsidRPr="0072132A">
        <w:rPr>
          <w:sz w:val="18"/>
          <w:szCs w:val="18"/>
          <w:lang w:val="en-US"/>
        </w:rPr>
        <w:t xml:space="preserve"> J Periodontol. </w:t>
      </w:r>
      <w:r w:rsidRPr="0072132A">
        <w:rPr>
          <w:b/>
          <w:sz w:val="18"/>
          <w:szCs w:val="18"/>
          <w:lang w:val="en-US"/>
        </w:rPr>
        <w:t>1992</w:t>
      </w:r>
      <w:r w:rsidRPr="0072132A">
        <w:rPr>
          <w:sz w:val="18"/>
          <w:szCs w:val="18"/>
          <w:lang w:val="en-US"/>
        </w:rPr>
        <w:t xml:space="preserve"> 63(4 Suppl):322-31.</w:t>
      </w:r>
    </w:p>
  </w:endnote>
  <w:endnote w:id="27">
    <w:p w14:paraId="5FEB800F"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Sanz M, Quirynen M; </w:t>
      </w:r>
      <w:r w:rsidRPr="0072132A">
        <w:rPr>
          <w:i/>
          <w:iCs/>
          <w:sz w:val="18"/>
          <w:szCs w:val="18"/>
          <w:lang w:val="en-US"/>
        </w:rPr>
        <w:t>European Workshop in Periodontology group A. Advances in the aetiology of periodontitis. Consensus report of the 5th European Workshop in Periodontology. J Clin Periodontol.</w:t>
      </w:r>
      <w:r w:rsidRPr="0072132A">
        <w:rPr>
          <w:sz w:val="18"/>
          <w:szCs w:val="18"/>
          <w:lang w:val="en-US"/>
        </w:rPr>
        <w:t xml:space="preserve"> </w:t>
      </w:r>
      <w:r w:rsidRPr="0072132A">
        <w:rPr>
          <w:b/>
          <w:i/>
          <w:iCs/>
          <w:sz w:val="18"/>
          <w:szCs w:val="18"/>
          <w:lang w:val="en-US"/>
        </w:rPr>
        <w:t xml:space="preserve">2005 </w:t>
      </w:r>
      <w:r w:rsidRPr="0072132A">
        <w:rPr>
          <w:sz w:val="18"/>
          <w:szCs w:val="18"/>
          <w:lang w:val="en-US"/>
        </w:rPr>
        <w:t>32 Suppl 6:54-6.</w:t>
      </w:r>
    </w:p>
  </w:endnote>
  <w:endnote w:id="28">
    <w:p w14:paraId="689C9B4F"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Van Winkelhoff AJ, Boutaga K. </w:t>
      </w:r>
      <w:r w:rsidRPr="0072132A">
        <w:rPr>
          <w:i/>
          <w:iCs/>
          <w:sz w:val="18"/>
          <w:szCs w:val="18"/>
          <w:lang w:val="en-US"/>
        </w:rPr>
        <w:t>Transmission of periodontal bacteria and models of infection. J Clin Periodontol.</w:t>
      </w:r>
      <w:r w:rsidRPr="0072132A">
        <w:rPr>
          <w:sz w:val="18"/>
          <w:szCs w:val="18"/>
          <w:lang w:val="en-US"/>
        </w:rPr>
        <w:t xml:space="preserve"> </w:t>
      </w:r>
      <w:r w:rsidRPr="0072132A">
        <w:rPr>
          <w:b/>
          <w:sz w:val="18"/>
          <w:szCs w:val="18"/>
          <w:lang w:val="en-US"/>
        </w:rPr>
        <w:t>2005</w:t>
      </w:r>
      <w:r w:rsidRPr="0072132A">
        <w:rPr>
          <w:sz w:val="18"/>
          <w:szCs w:val="18"/>
          <w:lang w:val="en-US"/>
        </w:rPr>
        <w:t xml:space="preserve">  32 Suppl 6:16-27.</w:t>
      </w:r>
    </w:p>
  </w:endnote>
  <w:endnote w:id="29">
    <w:p w14:paraId="3602E82E" w14:textId="77777777" w:rsidR="001476B9" w:rsidRPr="00F97FD6" w:rsidRDefault="001476B9" w:rsidP="001476B9">
      <w:pPr>
        <w:pStyle w:val="Testonotadichiusura"/>
        <w:jc w:val="both"/>
        <w:rPr>
          <w:lang w:val="en-US"/>
        </w:rPr>
      </w:pPr>
      <w:r>
        <w:rPr>
          <w:rStyle w:val="Rimandonotadichiusura"/>
        </w:rPr>
        <w:endnoteRef/>
      </w:r>
      <w:r w:rsidRPr="001476B9">
        <w:rPr>
          <w:lang w:val="en-US"/>
        </w:rPr>
        <w:t xml:space="preserve"> </w:t>
      </w:r>
      <w:r w:rsidRPr="001476B9">
        <w:rPr>
          <w:sz w:val="18"/>
          <w:szCs w:val="18"/>
          <w:lang w:val="en-US"/>
        </w:rPr>
        <w:t>Wilderer, P. A., &amp; Charaklis, W. G. (</w:t>
      </w:r>
      <w:r w:rsidRPr="001476B9">
        <w:rPr>
          <w:b/>
          <w:bCs/>
          <w:sz w:val="18"/>
          <w:szCs w:val="18"/>
          <w:lang w:val="en-US"/>
        </w:rPr>
        <w:t>1989</w:t>
      </w:r>
      <w:r w:rsidRPr="001476B9">
        <w:rPr>
          <w:sz w:val="18"/>
          <w:szCs w:val="18"/>
          <w:lang w:val="en-US"/>
        </w:rPr>
        <w:t xml:space="preserve">). </w:t>
      </w:r>
      <w:r w:rsidRPr="001476B9">
        <w:rPr>
          <w:i/>
          <w:iCs/>
          <w:sz w:val="18"/>
          <w:szCs w:val="18"/>
          <w:lang w:val="en-US"/>
        </w:rPr>
        <w:t>Structure and function of biofilms</w:t>
      </w:r>
      <w:r w:rsidRPr="001476B9">
        <w:rPr>
          <w:sz w:val="18"/>
          <w:szCs w:val="18"/>
          <w:lang w:val="en-US"/>
        </w:rPr>
        <w:t xml:space="preserve">. In W. G. Charaklis &amp; K. C. Marshall (Eds.), Biofilms (pp. 5–17). </w:t>
      </w:r>
      <w:r w:rsidRPr="00F97FD6">
        <w:rPr>
          <w:sz w:val="18"/>
          <w:szCs w:val="18"/>
          <w:lang w:val="en-US"/>
        </w:rPr>
        <w:t>New York: John Wiley &amp; Sons.</w:t>
      </w:r>
    </w:p>
    <w:p w14:paraId="706AAE44" w14:textId="2891EC07" w:rsidR="001476B9" w:rsidRPr="00F97FD6" w:rsidRDefault="001476B9">
      <w:pPr>
        <w:pStyle w:val="Testonotadichiusura"/>
        <w:rPr>
          <w:lang w:val="en-US"/>
        </w:rPr>
      </w:pPr>
    </w:p>
  </w:endnote>
  <w:endnote w:id="30">
    <w:p w14:paraId="542A1F0D" w14:textId="54965036" w:rsidR="004938E8" w:rsidRPr="00D73971" w:rsidRDefault="004938E8" w:rsidP="004938E8">
      <w:pPr>
        <w:pStyle w:val="Testonotadichiusura"/>
        <w:jc w:val="both"/>
        <w:rPr>
          <w:lang w:val="en-US"/>
        </w:rPr>
      </w:pPr>
      <w:r>
        <w:rPr>
          <w:rStyle w:val="Rimandonotadichiusura"/>
        </w:rPr>
        <w:endnoteRef/>
      </w:r>
      <w:r w:rsidRPr="004938E8">
        <w:rPr>
          <w:lang w:val="en-US"/>
        </w:rPr>
        <w:t xml:space="preserve"> </w:t>
      </w:r>
      <w:r w:rsidRPr="004938E8">
        <w:rPr>
          <w:sz w:val="18"/>
          <w:szCs w:val="18"/>
          <w:lang w:val="en-US"/>
        </w:rPr>
        <w:t xml:space="preserve">Bascones-Martínez A, Muñoz-Corcuera M, Noronha S, Mota P, Bascones-Ilundain C, Campo-Trapero J. </w:t>
      </w:r>
      <w:r w:rsidRPr="004938E8">
        <w:rPr>
          <w:i/>
          <w:iCs/>
          <w:sz w:val="18"/>
          <w:szCs w:val="18"/>
          <w:lang w:val="en-US"/>
        </w:rPr>
        <w:t>Host defence mechanisms against bacterial aggression in periodontal disease: Basic mechanisms.</w:t>
      </w:r>
      <w:r w:rsidRPr="004938E8">
        <w:rPr>
          <w:sz w:val="18"/>
          <w:szCs w:val="18"/>
          <w:lang w:val="en-US"/>
        </w:rPr>
        <w:t xml:space="preserve"> </w:t>
      </w:r>
      <w:r w:rsidRPr="004938E8">
        <w:rPr>
          <w:sz w:val="18"/>
          <w:szCs w:val="18"/>
        </w:rPr>
        <w:t xml:space="preserve">Med Oral Patol Oral Cir Bucal. </w:t>
      </w:r>
      <w:r w:rsidRPr="004938E8">
        <w:rPr>
          <w:b/>
          <w:bCs/>
          <w:sz w:val="18"/>
          <w:szCs w:val="18"/>
        </w:rPr>
        <w:t>2009</w:t>
      </w:r>
      <w:r w:rsidRPr="004938E8">
        <w:rPr>
          <w:sz w:val="18"/>
          <w:szCs w:val="18"/>
        </w:rPr>
        <w:t xml:space="preserve"> Dec 1;14(12):e680-5. doi: 10.4317/medoral.14.e680. </w:t>
      </w:r>
      <w:r w:rsidRPr="00D73971">
        <w:rPr>
          <w:sz w:val="18"/>
          <w:szCs w:val="18"/>
          <w:lang w:val="en-US"/>
        </w:rPr>
        <w:t>PMID: 19680192.</w:t>
      </w:r>
    </w:p>
    <w:p w14:paraId="239FB421" w14:textId="77777777" w:rsidR="004938E8" w:rsidRPr="00D73971" w:rsidRDefault="004938E8">
      <w:pPr>
        <w:pStyle w:val="Testonotadichiusura"/>
        <w:rPr>
          <w:lang w:val="en-US"/>
        </w:rPr>
      </w:pPr>
    </w:p>
  </w:endnote>
  <w:endnote w:id="31">
    <w:p w14:paraId="5AFF1A10"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Page RC. </w:t>
      </w:r>
      <w:r w:rsidRPr="0072132A">
        <w:rPr>
          <w:i/>
          <w:iCs/>
          <w:sz w:val="18"/>
          <w:szCs w:val="18"/>
          <w:lang w:val="en-US"/>
        </w:rPr>
        <w:t>The role of inflammatory mediators in the pathogenesis of periodontal disease. J Periodontal Res.</w:t>
      </w:r>
      <w:r w:rsidRPr="0072132A">
        <w:rPr>
          <w:sz w:val="18"/>
          <w:szCs w:val="18"/>
          <w:lang w:val="en-US"/>
        </w:rPr>
        <w:t xml:space="preserve"> </w:t>
      </w:r>
      <w:r w:rsidRPr="0072132A">
        <w:rPr>
          <w:b/>
          <w:sz w:val="18"/>
          <w:szCs w:val="18"/>
          <w:lang w:val="en-US"/>
        </w:rPr>
        <w:t xml:space="preserve">1991 </w:t>
      </w:r>
      <w:r w:rsidRPr="0072132A">
        <w:rPr>
          <w:sz w:val="18"/>
          <w:szCs w:val="18"/>
          <w:lang w:val="en-US"/>
        </w:rPr>
        <w:t>26(3 Pt 2):230-42.</w:t>
      </w:r>
    </w:p>
  </w:endnote>
  <w:endnote w:id="32">
    <w:p w14:paraId="0797B507"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Madianos PN, Bobetsis YA, Kinane DF. </w:t>
      </w:r>
      <w:r w:rsidRPr="0072132A">
        <w:rPr>
          <w:i/>
          <w:iCs/>
          <w:sz w:val="18"/>
          <w:szCs w:val="18"/>
          <w:lang w:val="en-US"/>
        </w:rPr>
        <w:t>Generation of inflammatory stimuli: how bacteria set up inflammatory responses inthe gingiva. J Clin Periodontol.</w:t>
      </w:r>
      <w:r w:rsidRPr="0072132A">
        <w:rPr>
          <w:sz w:val="18"/>
          <w:szCs w:val="18"/>
          <w:lang w:val="en-US"/>
        </w:rPr>
        <w:t xml:space="preserve"> 32 Suppl </w:t>
      </w:r>
      <w:r w:rsidRPr="0072132A">
        <w:rPr>
          <w:b/>
          <w:sz w:val="18"/>
          <w:szCs w:val="18"/>
          <w:lang w:val="en-US"/>
        </w:rPr>
        <w:t xml:space="preserve">2005 </w:t>
      </w:r>
      <w:r w:rsidRPr="0072132A">
        <w:rPr>
          <w:sz w:val="18"/>
          <w:szCs w:val="18"/>
          <w:lang w:val="en-US"/>
        </w:rPr>
        <w:t>6:57-71.</w:t>
      </w:r>
    </w:p>
  </w:endnote>
  <w:endnote w:id="33">
    <w:p w14:paraId="106797DB" w14:textId="52098803" w:rsidR="00817C85" w:rsidRPr="00817C85" w:rsidRDefault="00817C85" w:rsidP="00817C85">
      <w:pPr>
        <w:pStyle w:val="Testonotadichiusura"/>
        <w:jc w:val="both"/>
        <w:rPr>
          <w:lang w:val="en-US"/>
        </w:rPr>
      </w:pPr>
      <w:r>
        <w:rPr>
          <w:rStyle w:val="Rimandonotadichiusura"/>
        </w:rPr>
        <w:endnoteRef/>
      </w:r>
      <w:r w:rsidRPr="00817C85">
        <w:rPr>
          <w:lang w:val="en-US"/>
        </w:rPr>
        <w:t xml:space="preserve"> </w:t>
      </w:r>
      <w:r w:rsidRPr="00817C85">
        <w:rPr>
          <w:sz w:val="18"/>
          <w:szCs w:val="18"/>
          <w:lang w:val="en-US"/>
        </w:rPr>
        <w:t xml:space="preserve">Loesche WJ. </w:t>
      </w:r>
      <w:r w:rsidRPr="00817C85">
        <w:rPr>
          <w:i/>
          <w:iCs/>
          <w:sz w:val="18"/>
          <w:szCs w:val="18"/>
          <w:lang w:val="en-US"/>
        </w:rPr>
        <w:t>Clinical and microbiological aspects of chemotherapeutic agents used according to the specific plaque hypothesis.</w:t>
      </w:r>
      <w:r w:rsidRPr="00817C85">
        <w:rPr>
          <w:sz w:val="18"/>
          <w:szCs w:val="18"/>
          <w:lang w:val="en-US"/>
        </w:rPr>
        <w:t xml:space="preserve"> J Dent Res. </w:t>
      </w:r>
      <w:r w:rsidRPr="00817C85">
        <w:rPr>
          <w:b/>
          <w:bCs/>
          <w:sz w:val="18"/>
          <w:szCs w:val="18"/>
          <w:lang w:val="en-US"/>
        </w:rPr>
        <w:t>1979</w:t>
      </w:r>
      <w:r w:rsidRPr="00817C85">
        <w:rPr>
          <w:sz w:val="18"/>
          <w:szCs w:val="18"/>
          <w:lang w:val="en-US"/>
        </w:rPr>
        <w:t xml:space="preserve"> Dec;58(12):2404-12. doi: 10.1177/00220345790580120905. PMID: 41862.</w:t>
      </w:r>
    </w:p>
    <w:p w14:paraId="7F6AB528" w14:textId="77777777" w:rsidR="00817C85" w:rsidRPr="00817C85" w:rsidRDefault="00817C85" w:rsidP="00817C85">
      <w:pPr>
        <w:pStyle w:val="Testonotadichiusura"/>
        <w:jc w:val="both"/>
        <w:rPr>
          <w:lang w:val="en-US"/>
        </w:rPr>
      </w:pPr>
    </w:p>
  </w:endnote>
  <w:endnote w:id="34">
    <w:p w14:paraId="62087F85" w14:textId="77777777" w:rsidR="00E363D9" w:rsidRPr="0072132A" w:rsidRDefault="00E363D9" w:rsidP="00817C85">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w:t>
      </w:r>
      <w:r w:rsidRPr="0072132A">
        <w:rPr>
          <w:color w:val="222222"/>
          <w:sz w:val="18"/>
          <w:szCs w:val="18"/>
          <w:shd w:val="clear" w:color="auto" w:fill="FFFFFF"/>
          <w:lang w:val="en-US"/>
        </w:rPr>
        <w:t>Socransky, S. S., and A. D. Haffajee. “</w:t>
      </w:r>
      <w:r w:rsidRPr="0072132A">
        <w:rPr>
          <w:i/>
          <w:iCs/>
          <w:color w:val="222222"/>
          <w:sz w:val="18"/>
          <w:szCs w:val="18"/>
          <w:shd w:val="clear" w:color="auto" w:fill="FFFFFF"/>
          <w:lang w:val="en-US"/>
        </w:rPr>
        <w:t>Implications of periodontal microbiology for the treatment of periodontal infections</w:t>
      </w:r>
      <w:r w:rsidRPr="0072132A">
        <w:rPr>
          <w:color w:val="222222"/>
          <w:sz w:val="18"/>
          <w:szCs w:val="18"/>
          <w:shd w:val="clear" w:color="auto" w:fill="FFFFFF"/>
          <w:lang w:val="en-US"/>
        </w:rPr>
        <w:t>.” </w:t>
      </w:r>
      <w:r w:rsidRPr="0072132A">
        <w:rPr>
          <w:i/>
          <w:iCs/>
          <w:color w:val="222222"/>
          <w:sz w:val="18"/>
          <w:szCs w:val="18"/>
          <w:shd w:val="clear" w:color="auto" w:fill="FFFFFF"/>
          <w:lang w:val="en-US"/>
        </w:rPr>
        <w:t>Compendium (Newtown, Pa.). Supplement</w:t>
      </w:r>
      <w:r w:rsidRPr="0072132A">
        <w:rPr>
          <w:color w:val="222222"/>
          <w:sz w:val="18"/>
          <w:szCs w:val="18"/>
          <w:shd w:val="clear" w:color="auto" w:fill="FFFFFF"/>
          <w:lang w:val="en-US"/>
        </w:rPr>
        <w:t xml:space="preserve"> 18 </w:t>
      </w:r>
      <w:r w:rsidRPr="0072132A">
        <w:rPr>
          <w:b/>
          <w:color w:val="222222"/>
          <w:sz w:val="18"/>
          <w:szCs w:val="18"/>
          <w:shd w:val="clear" w:color="auto" w:fill="FFFFFF"/>
          <w:lang w:val="en-US"/>
        </w:rPr>
        <w:t>1994:</w:t>
      </w:r>
      <w:r w:rsidRPr="0072132A">
        <w:rPr>
          <w:color w:val="222222"/>
          <w:sz w:val="18"/>
          <w:szCs w:val="18"/>
          <w:shd w:val="clear" w:color="auto" w:fill="FFFFFF"/>
          <w:lang w:val="en-US"/>
        </w:rPr>
        <w:t xml:space="preserve"> S684-5.</w:t>
      </w:r>
    </w:p>
  </w:endnote>
  <w:endnote w:id="35">
    <w:p w14:paraId="7B10F112" w14:textId="77777777" w:rsidR="00E363D9" w:rsidRPr="0072132A" w:rsidRDefault="00E363D9" w:rsidP="00817C85">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Page RC, Offenbacher S, Schroeder HE, Seymour GJ, Kornman KS. 1997 </w:t>
      </w:r>
      <w:r w:rsidRPr="0072132A">
        <w:rPr>
          <w:i/>
          <w:iCs/>
          <w:sz w:val="18"/>
          <w:szCs w:val="18"/>
          <w:lang w:val="en-US"/>
        </w:rPr>
        <w:t>Advances in the pathogenesis of periodontitis: summary of developments, clinical implications and future directions. Periodontol</w:t>
      </w:r>
      <w:r w:rsidRPr="0072132A">
        <w:rPr>
          <w:sz w:val="18"/>
          <w:szCs w:val="18"/>
          <w:lang w:val="en-US"/>
        </w:rPr>
        <w:t xml:space="preserve"> </w:t>
      </w:r>
      <w:r w:rsidRPr="0072132A">
        <w:rPr>
          <w:b/>
          <w:sz w:val="18"/>
          <w:szCs w:val="18"/>
          <w:lang w:val="en-US"/>
        </w:rPr>
        <w:t>2000</w:t>
      </w:r>
      <w:r w:rsidRPr="0072132A">
        <w:rPr>
          <w:sz w:val="18"/>
          <w:szCs w:val="18"/>
          <w:lang w:val="en-US"/>
        </w:rPr>
        <w:t>. 14:216-48.</w:t>
      </w:r>
    </w:p>
  </w:endnote>
  <w:endnote w:id="36">
    <w:p w14:paraId="4646C478" w14:textId="55553C99" w:rsidR="00817C85" w:rsidRPr="001476B9" w:rsidRDefault="00817C85" w:rsidP="00817C85">
      <w:pPr>
        <w:pStyle w:val="Testonotadichiusura"/>
        <w:jc w:val="both"/>
        <w:rPr>
          <w:sz w:val="18"/>
          <w:szCs w:val="18"/>
          <w:lang w:val="en-US"/>
        </w:rPr>
      </w:pPr>
      <w:r>
        <w:rPr>
          <w:rStyle w:val="Rimandonotadichiusura"/>
        </w:rPr>
        <w:endnoteRef/>
      </w:r>
      <w:r w:rsidRPr="00817C85">
        <w:rPr>
          <w:lang w:val="en-US"/>
        </w:rPr>
        <w:t xml:space="preserve"> </w:t>
      </w:r>
      <w:r w:rsidRPr="00817C85">
        <w:rPr>
          <w:sz w:val="18"/>
          <w:szCs w:val="18"/>
          <w:lang w:val="en-US"/>
        </w:rPr>
        <w:t xml:space="preserve">Giannobile WV. </w:t>
      </w:r>
      <w:r w:rsidRPr="00817C85">
        <w:rPr>
          <w:i/>
          <w:iCs/>
          <w:sz w:val="18"/>
          <w:szCs w:val="18"/>
          <w:lang w:val="en-US"/>
        </w:rPr>
        <w:t>Host-response therapeutics for periodontal diseases.</w:t>
      </w:r>
      <w:r w:rsidRPr="00817C85">
        <w:rPr>
          <w:sz w:val="18"/>
          <w:szCs w:val="18"/>
          <w:lang w:val="en-US"/>
        </w:rPr>
        <w:t xml:space="preserve"> </w:t>
      </w:r>
      <w:r w:rsidRPr="001476B9">
        <w:rPr>
          <w:sz w:val="18"/>
          <w:szCs w:val="18"/>
          <w:lang w:val="en-US"/>
        </w:rPr>
        <w:t xml:space="preserve">J Periodontol. </w:t>
      </w:r>
      <w:r w:rsidRPr="001476B9">
        <w:rPr>
          <w:b/>
          <w:bCs/>
          <w:sz w:val="18"/>
          <w:szCs w:val="18"/>
          <w:lang w:val="en-US"/>
        </w:rPr>
        <w:t>2008</w:t>
      </w:r>
      <w:r w:rsidRPr="001476B9">
        <w:rPr>
          <w:sz w:val="18"/>
          <w:szCs w:val="18"/>
          <w:lang w:val="en-US"/>
        </w:rPr>
        <w:t xml:space="preserve"> Aug;79(8 Suppl):1592-600. doi: 10.1902/jop.2008.080174. PMID: 18673015; PMCID: PMC2583215.</w:t>
      </w:r>
    </w:p>
    <w:p w14:paraId="537585D5" w14:textId="77777777" w:rsidR="00817C85" w:rsidRPr="00817C85" w:rsidRDefault="00817C85">
      <w:pPr>
        <w:pStyle w:val="Testonotadichiusura"/>
        <w:rPr>
          <w:sz w:val="18"/>
          <w:szCs w:val="18"/>
          <w:lang w:val="en-US"/>
        </w:rPr>
      </w:pPr>
    </w:p>
  </w:endnote>
  <w:endnote w:id="37">
    <w:p w14:paraId="4D9E6BFB" w14:textId="7B7CBF20" w:rsidR="00817C85" w:rsidRPr="00817C85" w:rsidRDefault="00817C85" w:rsidP="00817C85">
      <w:pPr>
        <w:pStyle w:val="Testonotadichiusura"/>
        <w:jc w:val="both"/>
        <w:rPr>
          <w:lang w:val="en-US"/>
        </w:rPr>
      </w:pPr>
      <w:r>
        <w:rPr>
          <w:rStyle w:val="Rimandonotadichiusura"/>
        </w:rPr>
        <w:endnoteRef/>
      </w:r>
      <w:r w:rsidRPr="00817C85">
        <w:rPr>
          <w:lang w:val="en-US"/>
        </w:rPr>
        <w:t xml:space="preserve"> </w:t>
      </w:r>
      <w:r w:rsidRPr="00817C85">
        <w:rPr>
          <w:sz w:val="18"/>
          <w:szCs w:val="18"/>
          <w:lang w:val="en-US"/>
        </w:rPr>
        <w:t xml:space="preserve">Talapko J, Juzbašić M, Meštrović T, Matijević T, Mesarić D, Katalinić D, Erić S, Milostić-Srb A, Flam J, Škrlec I. Aggregatibacter actinomycetemcomitans: From the Oral Cavity to the Heart Valves. Microorganisms. </w:t>
      </w:r>
      <w:r w:rsidRPr="00817C85">
        <w:rPr>
          <w:b/>
          <w:bCs/>
          <w:sz w:val="18"/>
          <w:szCs w:val="18"/>
          <w:lang w:val="en-US"/>
        </w:rPr>
        <w:t>2024</w:t>
      </w:r>
      <w:r w:rsidRPr="00817C85">
        <w:rPr>
          <w:sz w:val="18"/>
          <w:szCs w:val="18"/>
          <w:lang w:val="en-US"/>
        </w:rPr>
        <w:t xml:space="preserve"> Jul 17;12(7):1451. doi: 10.3390/microorganisms12071451. PMID: 39065217; PMCID: PMC11279289.</w:t>
      </w:r>
    </w:p>
    <w:p w14:paraId="5318DA55" w14:textId="77777777" w:rsidR="00817C85" w:rsidRPr="00817C85" w:rsidRDefault="00817C85">
      <w:pPr>
        <w:pStyle w:val="Testonotadichiusura"/>
        <w:rPr>
          <w:lang w:val="en-US"/>
        </w:rPr>
      </w:pPr>
    </w:p>
  </w:endnote>
  <w:endnote w:id="38">
    <w:p w14:paraId="1027A30C" w14:textId="77777777" w:rsidR="00C9193E" w:rsidRPr="00817C85" w:rsidRDefault="00C9193E" w:rsidP="00C9193E">
      <w:pPr>
        <w:pStyle w:val="Testonotadichiusura"/>
        <w:jc w:val="both"/>
        <w:rPr>
          <w:lang w:val="en-US"/>
        </w:rPr>
      </w:pPr>
      <w:r>
        <w:rPr>
          <w:rStyle w:val="Rimandonotadichiusura"/>
        </w:rPr>
        <w:endnoteRef/>
      </w:r>
      <w:r w:rsidRPr="00817C85">
        <w:rPr>
          <w:lang w:val="en-US"/>
        </w:rPr>
        <w:t xml:space="preserve"> </w:t>
      </w:r>
      <w:r w:rsidRPr="00817C85">
        <w:rPr>
          <w:sz w:val="18"/>
          <w:szCs w:val="18"/>
          <w:lang w:val="en-US"/>
        </w:rPr>
        <w:t xml:space="preserve">Silva N, Abusleme L, Bravo D, Dutzan N, Garcia-Sesnich J, Vernal R, Hernández M, Gamonal J. </w:t>
      </w:r>
      <w:r w:rsidRPr="00817C85">
        <w:rPr>
          <w:i/>
          <w:iCs/>
          <w:sz w:val="18"/>
          <w:szCs w:val="18"/>
          <w:lang w:val="en-US"/>
        </w:rPr>
        <w:t>Host response mechanisms in periodontal diseases.</w:t>
      </w:r>
      <w:r w:rsidRPr="00817C85">
        <w:rPr>
          <w:sz w:val="18"/>
          <w:szCs w:val="18"/>
          <w:lang w:val="en-US"/>
        </w:rPr>
        <w:t xml:space="preserve"> J Appl Oral Sci. </w:t>
      </w:r>
      <w:r w:rsidRPr="00817C85">
        <w:rPr>
          <w:b/>
          <w:bCs/>
          <w:sz w:val="18"/>
          <w:szCs w:val="18"/>
          <w:lang w:val="en-US"/>
        </w:rPr>
        <w:t>2015</w:t>
      </w:r>
      <w:r w:rsidRPr="00817C85">
        <w:rPr>
          <w:sz w:val="18"/>
          <w:szCs w:val="18"/>
          <w:lang w:val="en-US"/>
        </w:rPr>
        <w:t xml:space="preserve"> May-Jun;23(3):329-55. doi: 10.1590/1678-775720140259. PMID: 26221929; PMCID: PMC4510669.</w:t>
      </w:r>
    </w:p>
    <w:p w14:paraId="5BA6C79E" w14:textId="77777777" w:rsidR="00C9193E" w:rsidRPr="00817C85" w:rsidRDefault="00C9193E" w:rsidP="00C9193E">
      <w:pPr>
        <w:pStyle w:val="Testonotadichiusura"/>
        <w:jc w:val="both"/>
        <w:rPr>
          <w:lang w:val="en-US"/>
        </w:rPr>
      </w:pPr>
    </w:p>
  </w:endnote>
  <w:endnote w:id="39">
    <w:p w14:paraId="75FCC067" w14:textId="5C3795B0" w:rsidR="00C9193E" w:rsidRPr="001476B9" w:rsidRDefault="00C9193E" w:rsidP="00C9193E">
      <w:pPr>
        <w:pStyle w:val="Testonotadichiusura"/>
        <w:jc w:val="both"/>
        <w:rPr>
          <w:lang w:val="en-US"/>
        </w:rPr>
      </w:pPr>
      <w:r>
        <w:rPr>
          <w:rStyle w:val="Rimandonotadichiusura"/>
        </w:rPr>
        <w:endnoteRef/>
      </w:r>
      <w:r w:rsidRPr="00C9193E">
        <w:rPr>
          <w:lang w:val="en-US"/>
        </w:rPr>
        <w:t xml:space="preserve"> </w:t>
      </w:r>
      <w:r w:rsidRPr="00C9193E">
        <w:rPr>
          <w:sz w:val="18"/>
          <w:szCs w:val="18"/>
          <w:lang w:val="en-US"/>
        </w:rPr>
        <w:t xml:space="preserve">Hajishengallis G. </w:t>
      </w:r>
      <w:r w:rsidRPr="00C9193E">
        <w:rPr>
          <w:i/>
          <w:iCs/>
          <w:sz w:val="18"/>
          <w:szCs w:val="18"/>
          <w:lang w:val="en-US"/>
        </w:rPr>
        <w:t>Periodontitis: from microbial immune subversion to systemic inflammation</w:t>
      </w:r>
      <w:r w:rsidRPr="00C9193E">
        <w:rPr>
          <w:sz w:val="18"/>
          <w:szCs w:val="18"/>
          <w:lang w:val="en-US"/>
        </w:rPr>
        <w:t xml:space="preserve">. </w:t>
      </w:r>
      <w:r w:rsidRPr="001476B9">
        <w:rPr>
          <w:sz w:val="18"/>
          <w:szCs w:val="18"/>
          <w:lang w:val="en-US"/>
        </w:rPr>
        <w:t xml:space="preserve">Nat Rev Immunol. </w:t>
      </w:r>
      <w:r w:rsidRPr="001476B9">
        <w:rPr>
          <w:b/>
          <w:bCs/>
          <w:sz w:val="18"/>
          <w:szCs w:val="18"/>
          <w:lang w:val="en-US"/>
        </w:rPr>
        <w:t>2015</w:t>
      </w:r>
      <w:r w:rsidRPr="001476B9">
        <w:rPr>
          <w:sz w:val="18"/>
          <w:szCs w:val="18"/>
          <w:lang w:val="en-US"/>
        </w:rPr>
        <w:t xml:space="preserve"> Jan;15(1):30-44. doi: 10.1038/nri3785. PMID: 25534621; PMCID: PMC4276050.</w:t>
      </w:r>
    </w:p>
    <w:p w14:paraId="2DE70F76" w14:textId="77777777" w:rsidR="00C9193E" w:rsidRPr="001476B9" w:rsidRDefault="00C9193E" w:rsidP="00C9193E">
      <w:pPr>
        <w:pStyle w:val="Testonotadichiusura"/>
        <w:jc w:val="both"/>
        <w:rPr>
          <w:lang w:val="en-US"/>
        </w:rPr>
      </w:pPr>
    </w:p>
  </w:endnote>
  <w:endnote w:id="40">
    <w:p w14:paraId="6A982CB3" w14:textId="7DEC3BF6" w:rsidR="00C9193E" w:rsidRPr="00C9193E" w:rsidRDefault="00C9193E" w:rsidP="00C9193E">
      <w:pPr>
        <w:pStyle w:val="Testonotadichiusura"/>
        <w:jc w:val="both"/>
        <w:rPr>
          <w:lang w:val="en-US"/>
        </w:rPr>
      </w:pPr>
      <w:r>
        <w:rPr>
          <w:rStyle w:val="Rimandonotadichiusura"/>
        </w:rPr>
        <w:endnoteRef/>
      </w:r>
      <w:r w:rsidRPr="00C9193E">
        <w:rPr>
          <w:lang w:val="en-US"/>
        </w:rPr>
        <w:t xml:space="preserve"> </w:t>
      </w:r>
      <w:r w:rsidRPr="00C9193E">
        <w:rPr>
          <w:sz w:val="18"/>
          <w:szCs w:val="18"/>
          <w:lang w:val="en-US"/>
        </w:rPr>
        <w:t xml:space="preserve">Neurath N, Kesting M. </w:t>
      </w:r>
      <w:r w:rsidRPr="00C9193E">
        <w:rPr>
          <w:i/>
          <w:iCs/>
          <w:sz w:val="18"/>
          <w:szCs w:val="18"/>
          <w:lang w:val="en-US"/>
        </w:rPr>
        <w:t>Cytokines in gingivitis and periodontitis: from pathogenesis to therapeutic targets</w:t>
      </w:r>
      <w:r w:rsidRPr="00C9193E">
        <w:rPr>
          <w:sz w:val="18"/>
          <w:szCs w:val="18"/>
          <w:lang w:val="en-US"/>
        </w:rPr>
        <w:t xml:space="preserve">. Front Immunol. </w:t>
      </w:r>
      <w:r w:rsidRPr="00C9193E">
        <w:rPr>
          <w:b/>
          <w:bCs/>
          <w:sz w:val="18"/>
          <w:szCs w:val="18"/>
          <w:lang w:val="en-US"/>
        </w:rPr>
        <w:t>2024</w:t>
      </w:r>
      <w:r w:rsidRPr="00C9193E">
        <w:rPr>
          <w:sz w:val="18"/>
          <w:szCs w:val="18"/>
          <w:lang w:val="en-US"/>
        </w:rPr>
        <w:t xml:space="preserve"> Aug 26;15:1435054. doi: 10.3389/fimmu.2024.1435054. PMID: 39253090; PMCID: PMC11381234.</w:t>
      </w:r>
    </w:p>
    <w:p w14:paraId="6BE8C15D" w14:textId="77777777" w:rsidR="00C9193E" w:rsidRPr="00C9193E" w:rsidRDefault="00C9193E" w:rsidP="00C9193E">
      <w:pPr>
        <w:pStyle w:val="Testonotadichiusura"/>
        <w:jc w:val="both"/>
        <w:rPr>
          <w:sz w:val="18"/>
          <w:szCs w:val="18"/>
          <w:lang w:val="en-US"/>
        </w:rPr>
      </w:pPr>
    </w:p>
  </w:endnote>
  <w:endnote w:id="41">
    <w:p w14:paraId="4B6A1AE1" w14:textId="408C5526" w:rsidR="00C9193E" w:rsidRPr="001476B9" w:rsidRDefault="00C9193E" w:rsidP="00C9193E">
      <w:pPr>
        <w:pStyle w:val="Testonotadichiusura"/>
        <w:jc w:val="both"/>
        <w:rPr>
          <w:sz w:val="18"/>
          <w:szCs w:val="18"/>
          <w:lang w:val="en-US"/>
        </w:rPr>
      </w:pPr>
      <w:r w:rsidRPr="00C9193E">
        <w:rPr>
          <w:rStyle w:val="Rimandonotadichiusura"/>
          <w:sz w:val="18"/>
          <w:szCs w:val="18"/>
        </w:rPr>
        <w:endnoteRef/>
      </w:r>
      <w:r w:rsidRPr="00C9193E">
        <w:rPr>
          <w:sz w:val="18"/>
          <w:szCs w:val="18"/>
          <w:lang w:val="en-US"/>
        </w:rPr>
        <w:t xml:space="preserve"> Scott DA, Krauss J. </w:t>
      </w:r>
      <w:r w:rsidRPr="00C9193E">
        <w:rPr>
          <w:i/>
          <w:iCs/>
          <w:sz w:val="18"/>
          <w:szCs w:val="18"/>
          <w:lang w:val="en-US"/>
        </w:rPr>
        <w:t>Neutrophils in periodontal inflammation</w:t>
      </w:r>
      <w:r w:rsidRPr="00C9193E">
        <w:rPr>
          <w:sz w:val="18"/>
          <w:szCs w:val="18"/>
          <w:lang w:val="en-US"/>
        </w:rPr>
        <w:t xml:space="preserve">. Front Oral Biol. </w:t>
      </w:r>
      <w:r w:rsidRPr="00C9193E">
        <w:rPr>
          <w:b/>
          <w:bCs/>
          <w:sz w:val="18"/>
          <w:szCs w:val="18"/>
          <w:lang w:val="en-US"/>
        </w:rPr>
        <w:t>2012</w:t>
      </w:r>
      <w:r w:rsidRPr="00C9193E">
        <w:rPr>
          <w:sz w:val="18"/>
          <w:szCs w:val="18"/>
          <w:lang w:val="en-US"/>
        </w:rPr>
        <w:t xml:space="preserve">;15:56-83. doi: 10.1159/000329672. Epub 2011 Nov 11. </w:t>
      </w:r>
      <w:r w:rsidRPr="001476B9">
        <w:rPr>
          <w:sz w:val="18"/>
          <w:szCs w:val="18"/>
          <w:lang w:val="en-US"/>
        </w:rPr>
        <w:t>PMID: 22142957; PMCID: PMC3335266.</w:t>
      </w:r>
    </w:p>
    <w:p w14:paraId="2EB86936" w14:textId="77777777" w:rsidR="00C9193E" w:rsidRPr="00C9193E" w:rsidRDefault="00C9193E">
      <w:pPr>
        <w:pStyle w:val="Testonotadichiusura"/>
        <w:rPr>
          <w:lang w:val="en-US"/>
        </w:rPr>
      </w:pPr>
    </w:p>
  </w:endnote>
  <w:endnote w:id="42">
    <w:p w14:paraId="01B24319" w14:textId="5C2CA946" w:rsidR="00C9193E" w:rsidRPr="00C9193E" w:rsidRDefault="00C9193E" w:rsidP="00C9193E">
      <w:pPr>
        <w:pStyle w:val="Testonotadichiusura"/>
        <w:jc w:val="both"/>
        <w:rPr>
          <w:lang w:val="en-US"/>
        </w:rPr>
      </w:pPr>
      <w:r>
        <w:rPr>
          <w:rStyle w:val="Rimandonotadichiusura"/>
        </w:rPr>
        <w:endnoteRef/>
      </w:r>
      <w:r w:rsidRPr="00C9193E">
        <w:rPr>
          <w:lang w:val="en-US"/>
        </w:rPr>
        <w:t xml:space="preserve"> </w:t>
      </w:r>
      <w:r w:rsidRPr="00C9193E">
        <w:rPr>
          <w:sz w:val="18"/>
          <w:szCs w:val="18"/>
          <w:lang w:val="en-US"/>
        </w:rPr>
        <w:t xml:space="preserve">Miller DR, Lamster IB, Chasens AI. </w:t>
      </w:r>
      <w:r w:rsidRPr="00C9193E">
        <w:rPr>
          <w:i/>
          <w:iCs/>
          <w:sz w:val="18"/>
          <w:szCs w:val="18"/>
          <w:lang w:val="en-US"/>
        </w:rPr>
        <w:t>Role of the polymorphonuclear leukocyte in periodontal health and disease. J Clin Periodontol.</w:t>
      </w:r>
      <w:r w:rsidRPr="00C9193E">
        <w:rPr>
          <w:sz w:val="18"/>
          <w:szCs w:val="18"/>
          <w:lang w:val="en-US"/>
        </w:rPr>
        <w:t xml:space="preserve"> </w:t>
      </w:r>
      <w:r w:rsidRPr="00C9193E">
        <w:rPr>
          <w:b/>
          <w:bCs/>
          <w:sz w:val="18"/>
          <w:szCs w:val="18"/>
          <w:lang w:val="en-US"/>
        </w:rPr>
        <w:t>1984</w:t>
      </w:r>
      <w:r w:rsidRPr="00C9193E">
        <w:rPr>
          <w:sz w:val="18"/>
          <w:szCs w:val="18"/>
          <w:lang w:val="en-US"/>
        </w:rPr>
        <w:t xml:space="preserve"> Jan;11(1):1-15. doi: 10.1111/j.1600-051x.1984.tb01303.x. PMID: 6363459.</w:t>
      </w:r>
    </w:p>
    <w:p w14:paraId="26246C79" w14:textId="77777777" w:rsidR="00C9193E" w:rsidRPr="00C9193E" w:rsidRDefault="00C9193E">
      <w:pPr>
        <w:pStyle w:val="Testonotadichiusura"/>
        <w:rPr>
          <w:lang w:val="en-US"/>
        </w:rPr>
      </w:pPr>
    </w:p>
  </w:endnote>
  <w:endnote w:id="43">
    <w:p w14:paraId="53FD44FC"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Heitz-Mayfield LJ. </w:t>
      </w:r>
      <w:r w:rsidRPr="0072132A">
        <w:rPr>
          <w:i/>
          <w:iCs/>
          <w:sz w:val="18"/>
          <w:szCs w:val="18"/>
          <w:lang w:val="en-US"/>
        </w:rPr>
        <w:t>Disease progression: identification of high-risk groups and individuals for periodontitis. J Clin Periodontol.</w:t>
      </w:r>
      <w:r w:rsidRPr="0072132A">
        <w:rPr>
          <w:sz w:val="18"/>
          <w:szCs w:val="18"/>
          <w:lang w:val="en-US"/>
        </w:rPr>
        <w:t xml:space="preserve"> 32 Suppl </w:t>
      </w:r>
      <w:r w:rsidRPr="0072132A">
        <w:rPr>
          <w:b/>
          <w:sz w:val="18"/>
          <w:szCs w:val="18"/>
          <w:lang w:val="en-US"/>
        </w:rPr>
        <w:t xml:space="preserve">2005 </w:t>
      </w:r>
      <w:r w:rsidRPr="0072132A">
        <w:rPr>
          <w:sz w:val="18"/>
          <w:szCs w:val="18"/>
          <w:lang w:val="en-US"/>
        </w:rPr>
        <w:t>6:196- 209.</w:t>
      </w:r>
    </w:p>
  </w:endnote>
  <w:endnote w:id="44">
    <w:p w14:paraId="2D9F3B53" w14:textId="68AA7E0A" w:rsidR="002C7E50" w:rsidRDefault="002C7E50">
      <w:pPr>
        <w:pStyle w:val="Testonotadichiusura"/>
        <w:rPr>
          <w:sz w:val="18"/>
          <w:szCs w:val="18"/>
          <w:lang w:val="en-US"/>
        </w:rPr>
      </w:pPr>
      <w:r>
        <w:rPr>
          <w:rStyle w:val="Rimandonotadichiusura"/>
        </w:rPr>
        <w:endnoteRef/>
      </w:r>
      <w:r w:rsidRPr="002C7E50">
        <w:rPr>
          <w:lang w:val="en-US"/>
        </w:rPr>
        <w:t xml:space="preserve"> </w:t>
      </w:r>
      <w:r w:rsidRPr="002C7E50">
        <w:rPr>
          <w:sz w:val="18"/>
          <w:szCs w:val="18"/>
          <w:lang w:val="en-US"/>
        </w:rPr>
        <w:t xml:space="preserve">LOE H, THEILADE E, JENSEN SB. EXPERIMENTAL GINGIVITIS IN MAN. J Periodontol (1930). </w:t>
      </w:r>
      <w:r w:rsidRPr="002C7E50">
        <w:rPr>
          <w:b/>
          <w:bCs/>
          <w:sz w:val="18"/>
          <w:szCs w:val="18"/>
          <w:lang w:val="en-US"/>
        </w:rPr>
        <w:t>1965</w:t>
      </w:r>
      <w:r w:rsidRPr="002C7E50">
        <w:rPr>
          <w:sz w:val="18"/>
          <w:szCs w:val="18"/>
          <w:lang w:val="en-US"/>
        </w:rPr>
        <w:t xml:space="preserve"> May-Jun;36:177-87. doi: 10.1902/jop.1965.36.3.177. PMID: 14296927.</w:t>
      </w:r>
      <w:r>
        <w:rPr>
          <w:sz w:val="18"/>
          <w:szCs w:val="18"/>
          <w:lang w:val="en-US"/>
        </w:rPr>
        <w:t xml:space="preserve"> </w:t>
      </w:r>
    </w:p>
    <w:p w14:paraId="2076AABC" w14:textId="77777777" w:rsidR="002C7E50" w:rsidRPr="002C7E50" w:rsidRDefault="002C7E50">
      <w:pPr>
        <w:pStyle w:val="Testonotadichiusura"/>
        <w:rPr>
          <w:lang w:val="en-US"/>
        </w:rPr>
      </w:pPr>
    </w:p>
  </w:endnote>
  <w:endnote w:id="45">
    <w:p w14:paraId="364C64B8" w14:textId="77777777" w:rsidR="00E363D9" w:rsidRPr="0072132A" w:rsidRDefault="00E363D9" w:rsidP="002C7E50">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Michalowicz BS, Aeppli D, Virag JG, Klump DG, Hinrichs JE, Segal NL, Bouchard TJ Jr, Pihlstrom BL. </w:t>
      </w:r>
      <w:r w:rsidRPr="0072132A">
        <w:rPr>
          <w:i/>
          <w:iCs/>
          <w:sz w:val="18"/>
          <w:szCs w:val="18"/>
          <w:lang w:val="en-US"/>
        </w:rPr>
        <w:t>Periodontal findings in adult twins. J Periodontol.</w:t>
      </w:r>
      <w:r w:rsidRPr="0072132A">
        <w:rPr>
          <w:b/>
          <w:sz w:val="18"/>
          <w:szCs w:val="18"/>
          <w:lang w:val="en-US"/>
        </w:rPr>
        <w:t xml:space="preserve"> 1991</w:t>
      </w:r>
      <w:r w:rsidRPr="0072132A">
        <w:rPr>
          <w:sz w:val="18"/>
          <w:szCs w:val="18"/>
          <w:lang w:val="en-US"/>
        </w:rPr>
        <w:t xml:space="preserve"> 62(5):293-9.</w:t>
      </w:r>
    </w:p>
  </w:endnote>
  <w:endnote w:id="46">
    <w:p w14:paraId="1E22DD51" w14:textId="40F14808" w:rsidR="002C7E50" w:rsidRPr="002C7E50" w:rsidRDefault="002C7E50" w:rsidP="002C7E50">
      <w:pPr>
        <w:pStyle w:val="Testonotadichiusura"/>
        <w:jc w:val="both"/>
        <w:rPr>
          <w:sz w:val="18"/>
          <w:szCs w:val="18"/>
          <w:lang w:val="en-US"/>
        </w:rPr>
      </w:pPr>
      <w:r>
        <w:rPr>
          <w:rStyle w:val="Rimandonotadichiusura"/>
        </w:rPr>
        <w:endnoteRef/>
      </w:r>
      <w:r w:rsidRPr="002C7E50">
        <w:rPr>
          <w:lang w:val="en-US"/>
        </w:rPr>
        <w:t xml:space="preserve"> </w:t>
      </w:r>
      <w:r w:rsidRPr="002C7E50">
        <w:rPr>
          <w:sz w:val="18"/>
          <w:szCs w:val="18"/>
          <w:lang w:val="en-US"/>
        </w:rPr>
        <w:t xml:space="preserve">Kornman KS, Crane A, Wang HY, di Giovine FS, Newman MG, Pirk FW, Wilson TG Jr, </w:t>
      </w:r>
      <w:r w:rsidRPr="002C7E50">
        <w:rPr>
          <w:i/>
          <w:iCs/>
          <w:sz w:val="18"/>
          <w:szCs w:val="18"/>
          <w:lang w:val="en-US"/>
        </w:rPr>
        <w:t>Higginbottom FL, Duff GW. The interleukin-1 genotype as a severity factor in adult periodontal disease</w:t>
      </w:r>
      <w:r w:rsidRPr="002C7E50">
        <w:rPr>
          <w:sz w:val="18"/>
          <w:szCs w:val="18"/>
          <w:lang w:val="en-US"/>
        </w:rPr>
        <w:t xml:space="preserve">. J Clin Periodontol. </w:t>
      </w:r>
      <w:r w:rsidRPr="002C7E50">
        <w:rPr>
          <w:b/>
          <w:bCs/>
          <w:sz w:val="18"/>
          <w:szCs w:val="18"/>
          <w:lang w:val="en-US"/>
        </w:rPr>
        <w:t>1997</w:t>
      </w:r>
      <w:r w:rsidRPr="002C7E50">
        <w:rPr>
          <w:sz w:val="18"/>
          <w:szCs w:val="18"/>
          <w:lang w:val="en-US"/>
        </w:rPr>
        <w:t xml:space="preserve"> Jan;24(1):72-7. doi: 10.1111/j.1600-051x.1997.tb01187.x. PMID: 9049801.</w:t>
      </w:r>
    </w:p>
    <w:p w14:paraId="253CD3EF" w14:textId="77777777" w:rsidR="002C7E50" w:rsidRPr="002C7E50" w:rsidRDefault="002C7E50">
      <w:pPr>
        <w:pStyle w:val="Testonotadichiusura"/>
        <w:rPr>
          <w:lang w:val="en-US"/>
        </w:rPr>
      </w:pPr>
    </w:p>
  </w:endnote>
  <w:endnote w:id="47">
    <w:p w14:paraId="3F634D4E" w14:textId="77777777" w:rsidR="009653CA" w:rsidRPr="009653CA" w:rsidRDefault="009653CA" w:rsidP="009653CA">
      <w:pPr>
        <w:pStyle w:val="Testonotadichiusura"/>
        <w:jc w:val="both"/>
        <w:rPr>
          <w:lang w:val="en-US"/>
        </w:rPr>
      </w:pPr>
      <w:r>
        <w:rPr>
          <w:rStyle w:val="Rimandonotadichiusura"/>
        </w:rPr>
        <w:endnoteRef/>
      </w:r>
      <w:r w:rsidRPr="009653CA">
        <w:rPr>
          <w:lang w:val="en-US"/>
        </w:rPr>
        <w:t xml:space="preserve"> </w:t>
      </w:r>
      <w:r w:rsidRPr="009653CA">
        <w:rPr>
          <w:sz w:val="18"/>
          <w:szCs w:val="18"/>
          <w:lang w:val="en-US"/>
        </w:rPr>
        <w:t xml:space="preserve">Larsson L. </w:t>
      </w:r>
      <w:r w:rsidRPr="009653CA">
        <w:rPr>
          <w:i/>
          <w:iCs/>
          <w:sz w:val="18"/>
          <w:szCs w:val="18"/>
          <w:lang w:val="en-US"/>
        </w:rPr>
        <w:t>Current Concepts of Epigenetics and Its Role in Periodontitis.</w:t>
      </w:r>
      <w:r w:rsidRPr="009653CA">
        <w:rPr>
          <w:sz w:val="18"/>
          <w:szCs w:val="18"/>
          <w:lang w:val="en-US"/>
        </w:rPr>
        <w:t xml:space="preserve"> Curr Oral Health Rep. </w:t>
      </w:r>
      <w:r w:rsidRPr="009653CA">
        <w:rPr>
          <w:b/>
          <w:bCs/>
          <w:sz w:val="18"/>
          <w:szCs w:val="18"/>
          <w:lang w:val="en-US"/>
        </w:rPr>
        <w:t>2017</w:t>
      </w:r>
      <w:r w:rsidRPr="009653CA">
        <w:rPr>
          <w:sz w:val="18"/>
          <w:szCs w:val="18"/>
          <w:lang w:val="en-US"/>
        </w:rPr>
        <w:t>;4(4):286-293. doi: 10.1007/s40496-017-0156-9. Epub 2017 Nov 6. PMID: 29201597; PMCID: PMC5688199.</w:t>
      </w:r>
    </w:p>
    <w:p w14:paraId="5F996E91" w14:textId="77777777" w:rsidR="009653CA" w:rsidRPr="009653CA" w:rsidRDefault="009653CA" w:rsidP="009653CA">
      <w:pPr>
        <w:pStyle w:val="Testonotadichiusura"/>
        <w:rPr>
          <w:lang w:val="en-US"/>
        </w:rPr>
      </w:pPr>
    </w:p>
  </w:endnote>
  <w:endnote w:id="48">
    <w:p w14:paraId="05240447" w14:textId="389662CC" w:rsidR="009653CA" w:rsidRDefault="009653CA" w:rsidP="009653CA">
      <w:pPr>
        <w:pStyle w:val="Testonotadichiusura"/>
        <w:jc w:val="both"/>
        <w:rPr>
          <w:lang w:val="en-US"/>
        </w:rPr>
      </w:pPr>
      <w:r>
        <w:rPr>
          <w:rStyle w:val="Rimandonotadichiusura"/>
        </w:rPr>
        <w:endnoteRef/>
      </w:r>
      <w:r w:rsidRPr="009653CA">
        <w:rPr>
          <w:lang w:val="en-US"/>
        </w:rPr>
        <w:t xml:space="preserve"> </w:t>
      </w:r>
      <w:r w:rsidRPr="009653CA">
        <w:rPr>
          <w:sz w:val="18"/>
          <w:szCs w:val="18"/>
          <w:lang w:val="en-US"/>
        </w:rPr>
        <w:t xml:space="preserve">Liaw A, Liu C, Ivanovski S, Han P. </w:t>
      </w:r>
      <w:r w:rsidRPr="009653CA">
        <w:rPr>
          <w:i/>
          <w:iCs/>
          <w:sz w:val="18"/>
          <w:szCs w:val="18"/>
          <w:lang w:val="en-US"/>
        </w:rPr>
        <w:t xml:space="preserve">The Relevance of DNA Methylation and Histone Modification in Periodontitis: A Scoping Review. </w:t>
      </w:r>
      <w:r w:rsidRPr="009653CA">
        <w:rPr>
          <w:sz w:val="18"/>
          <w:szCs w:val="18"/>
          <w:lang w:val="en-US"/>
        </w:rPr>
        <w:t xml:space="preserve">Cells. </w:t>
      </w:r>
      <w:r w:rsidRPr="009653CA">
        <w:rPr>
          <w:b/>
          <w:bCs/>
          <w:sz w:val="18"/>
          <w:szCs w:val="18"/>
          <w:lang w:val="en-US"/>
        </w:rPr>
        <w:t>2022</w:t>
      </w:r>
      <w:r w:rsidRPr="009653CA">
        <w:rPr>
          <w:sz w:val="18"/>
          <w:szCs w:val="18"/>
          <w:lang w:val="en-US"/>
        </w:rPr>
        <w:t xml:space="preserve"> Oct 13;11(20):3211. doi: 10.3390/cells11203211. PMID: 36291079; PMCID: PMC9601099.</w:t>
      </w:r>
    </w:p>
    <w:p w14:paraId="1631BA74" w14:textId="77777777" w:rsidR="009653CA" w:rsidRPr="009653CA" w:rsidRDefault="009653CA">
      <w:pPr>
        <w:pStyle w:val="Testonotadichiusura"/>
        <w:rPr>
          <w:lang w:val="en-US"/>
        </w:rPr>
      </w:pPr>
    </w:p>
  </w:endnote>
  <w:endnote w:id="49">
    <w:p w14:paraId="59923BC5" w14:textId="6CA6C085" w:rsidR="009653CA" w:rsidRPr="009653CA" w:rsidRDefault="009653CA" w:rsidP="009653CA">
      <w:pPr>
        <w:pStyle w:val="Testonotadichiusura"/>
        <w:jc w:val="both"/>
        <w:rPr>
          <w:lang w:val="en-US"/>
        </w:rPr>
      </w:pPr>
      <w:r>
        <w:rPr>
          <w:rStyle w:val="Rimandonotadichiusura"/>
        </w:rPr>
        <w:endnoteRef/>
      </w:r>
      <w:r w:rsidRPr="009653CA">
        <w:rPr>
          <w:lang w:val="en-US"/>
        </w:rPr>
        <w:t xml:space="preserve"> </w:t>
      </w:r>
      <w:r w:rsidRPr="009653CA">
        <w:rPr>
          <w:sz w:val="18"/>
          <w:szCs w:val="18"/>
          <w:lang w:val="en-US"/>
        </w:rPr>
        <w:t xml:space="preserve">Cho YD, Kim WJ, Ryoo HM, Kim HG, Kim KH, Ku Y, Seol YJ. </w:t>
      </w:r>
      <w:r w:rsidRPr="009653CA">
        <w:rPr>
          <w:i/>
          <w:iCs/>
          <w:sz w:val="18"/>
          <w:szCs w:val="18"/>
          <w:lang w:val="en-US"/>
        </w:rPr>
        <w:t>Current advances of epigenetics in periodontology from ENCODE project: a review and future perspectives</w:t>
      </w:r>
      <w:r w:rsidRPr="009653CA">
        <w:rPr>
          <w:sz w:val="18"/>
          <w:szCs w:val="18"/>
          <w:lang w:val="en-US"/>
        </w:rPr>
        <w:t xml:space="preserve">. Clin Epigenetics. </w:t>
      </w:r>
      <w:r w:rsidRPr="009653CA">
        <w:rPr>
          <w:b/>
          <w:bCs/>
          <w:sz w:val="18"/>
          <w:szCs w:val="18"/>
          <w:lang w:val="en-US"/>
        </w:rPr>
        <w:t>2021</w:t>
      </w:r>
      <w:r w:rsidRPr="009653CA">
        <w:rPr>
          <w:sz w:val="18"/>
          <w:szCs w:val="18"/>
          <w:lang w:val="en-US"/>
        </w:rPr>
        <w:t xml:space="preserve"> Apr 26;13(1):92. doi: 10.1186/s13148-021-01074-w. PMID: 33902683; PMCID: PMC8077755.</w:t>
      </w:r>
    </w:p>
    <w:p w14:paraId="6E6AEAF5" w14:textId="77777777" w:rsidR="009653CA" w:rsidRPr="009653CA" w:rsidRDefault="009653CA">
      <w:pPr>
        <w:pStyle w:val="Testonotadichiusura"/>
        <w:rPr>
          <w:lang w:val="en-US"/>
        </w:rPr>
      </w:pPr>
    </w:p>
  </w:endnote>
  <w:endnote w:id="50">
    <w:p w14:paraId="2EFC316E" w14:textId="06EC0546" w:rsidR="009653CA" w:rsidRDefault="009653CA">
      <w:pPr>
        <w:pStyle w:val="Testonotadichiusura"/>
        <w:rPr>
          <w:lang w:val="en-US"/>
        </w:rPr>
      </w:pPr>
      <w:r>
        <w:rPr>
          <w:rStyle w:val="Rimandonotadichiusura"/>
        </w:rPr>
        <w:endnoteRef/>
      </w:r>
      <w:r w:rsidRPr="009653CA">
        <w:rPr>
          <w:lang w:val="en-US"/>
        </w:rPr>
        <w:t xml:space="preserve"> </w:t>
      </w:r>
      <w:r w:rsidRPr="009653CA">
        <w:rPr>
          <w:sz w:val="18"/>
          <w:szCs w:val="18"/>
          <w:lang w:val="en-US"/>
        </w:rPr>
        <w:t xml:space="preserve">Ojima M, Hanioka T. </w:t>
      </w:r>
      <w:r w:rsidRPr="009653CA">
        <w:rPr>
          <w:i/>
          <w:iCs/>
          <w:sz w:val="18"/>
          <w:szCs w:val="18"/>
          <w:lang w:val="en-US"/>
        </w:rPr>
        <w:t>Destructive effects of smoking on molecular and genetic factors of periodontal disease.</w:t>
      </w:r>
      <w:r w:rsidRPr="009653CA">
        <w:rPr>
          <w:sz w:val="18"/>
          <w:szCs w:val="18"/>
          <w:lang w:val="en-US"/>
        </w:rPr>
        <w:t xml:space="preserve"> Tob Induc Dis. </w:t>
      </w:r>
      <w:r w:rsidRPr="009653CA">
        <w:rPr>
          <w:b/>
          <w:bCs/>
          <w:sz w:val="18"/>
          <w:szCs w:val="18"/>
          <w:lang w:val="en-US"/>
        </w:rPr>
        <w:t>2010</w:t>
      </w:r>
      <w:r w:rsidRPr="009653CA">
        <w:rPr>
          <w:sz w:val="18"/>
          <w:szCs w:val="18"/>
          <w:lang w:val="en-US"/>
        </w:rPr>
        <w:t xml:space="preserve"> Feb 20;8(1):4. doi: 10.1186/1617-9625-8-4. PMID: 20170537; PMCID: PMC2836317.</w:t>
      </w:r>
    </w:p>
    <w:p w14:paraId="1BA27CED" w14:textId="77777777" w:rsidR="009653CA" w:rsidRPr="009653CA" w:rsidRDefault="009653CA">
      <w:pPr>
        <w:pStyle w:val="Testonotadichiusura"/>
        <w:rPr>
          <w:lang w:val="en-US"/>
        </w:rPr>
      </w:pPr>
    </w:p>
  </w:endnote>
  <w:endnote w:id="51">
    <w:p w14:paraId="60BCE511" w14:textId="56BC9945" w:rsidR="00CC3314" w:rsidRPr="00CC3314" w:rsidRDefault="00CC3314" w:rsidP="00CC3314">
      <w:pPr>
        <w:pStyle w:val="Testonotadichiusura"/>
        <w:jc w:val="both"/>
        <w:rPr>
          <w:sz w:val="18"/>
          <w:szCs w:val="18"/>
          <w:lang w:val="en-US"/>
        </w:rPr>
      </w:pPr>
      <w:r>
        <w:rPr>
          <w:rStyle w:val="Rimandonotadichiusura"/>
        </w:rPr>
        <w:endnoteRef/>
      </w:r>
      <w:r w:rsidRPr="00CC3314">
        <w:rPr>
          <w:lang w:val="en-US"/>
        </w:rPr>
        <w:t xml:space="preserve"> </w:t>
      </w:r>
      <w:r w:rsidRPr="00CC3314">
        <w:rPr>
          <w:sz w:val="18"/>
          <w:szCs w:val="18"/>
          <w:lang w:val="en-US"/>
        </w:rPr>
        <w:t xml:space="preserve">Hayman L, Steffen MJ, Stevens J, Badger E, Tempro P, Fuller B, McGuire A, Al-Sabbagh M, Thomas MV, Ebersole JL. </w:t>
      </w:r>
      <w:r w:rsidRPr="00CC3314">
        <w:rPr>
          <w:i/>
          <w:iCs/>
          <w:sz w:val="18"/>
          <w:szCs w:val="18"/>
          <w:lang w:val="en-US"/>
        </w:rPr>
        <w:t xml:space="preserve">Smoking and periodontal disease: discrimination of antibody responses to pathogenic and commensal oral bacteria. </w:t>
      </w:r>
      <w:r w:rsidRPr="00CC3314">
        <w:rPr>
          <w:sz w:val="18"/>
          <w:szCs w:val="18"/>
          <w:lang w:val="en-US"/>
        </w:rPr>
        <w:t xml:space="preserve">Clin Exp Immunol. </w:t>
      </w:r>
      <w:r w:rsidRPr="00CC3314">
        <w:rPr>
          <w:b/>
          <w:bCs/>
          <w:sz w:val="18"/>
          <w:szCs w:val="18"/>
          <w:lang w:val="en-US"/>
        </w:rPr>
        <w:t>2011</w:t>
      </w:r>
      <w:r w:rsidRPr="00CC3314">
        <w:rPr>
          <w:sz w:val="18"/>
          <w:szCs w:val="18"/>
          <w:lang w:val="en-US"/>
        </w:rPr>
        <w:t xml:space="preserve"> Apr;164(1):118-26. doi: 10.1111/j.1365-2249.2010.04314.x. Epub 2011 Feb 8. PMID: 21303363; PMCID: PMC3074224.</w:t>
      </w:r>
    </w:p>
    <w:p w14:paraId="711D1D75" w14:textId="77777777" w:rsidR="00CC3314" w:rsidRPr="00CC3314" w:rsidRDefault="00CC3314" w:rsidP="00CC3314">
      <w:pPr>
        <w:pStyle w:val="Testonotadichiusura"/>
        <w:jc w:val="both"/>
        <w:rPr>
          <w:sz w:val="18"/>
          <w:szCs w:val="18"/>
          <w:lang w:val="en-US"/>
        </w:rPr>
      </w:pPr>
    </w:p>
  </w:endnote>
  <w:endnote w:id="52">
    <w:p w14:paraId="7F70E530" w14:textId="6C644144" w:rsidR="00CC3314" w:rsidRPr="00CC3314" w:rsidRDefault="00CC3314" w:rsidP="00CC3314">
      <w:pPr>
        <w:pStyle w:val="Testonotadichiusura"/>
        <w:jc w:val="both"/>
        <w:rPr>
          <w:sz w:val="18"/>
          <w:szCs w:val="18"/>
          <w:lang w:val="en-US"/>
        </w:rPr>
      </w:pPr>
      <w:r w:rsidRPr="00CC3314">
        <w:rPr>
          <w:rStyle w:val="Rimandonotadichiusura"/>
          <w:sz w:val="18"/>
          <w:szCs w:val="18"/>
        </w:rPr>
        <w:endnoteRef/>
      </w:r>
      <w:r w:rsidRPr="00CC3314">
        <w:rPr>
          <w:sz w:val="18"/>
          <w:szCs w:val="18"/>
          <w:lang w:val="en-US"/>
        </w:rPr>
        <w:t xml:space="preserve"> Omer-Cihangir R, Baser U, Kucukgergin C, Aykol-Sahin G, Huck O, Yalcin F. </w:t>
      </w:r>
      <w:r w:rsidRPr="00CC3314">
        <w:rPr>
          <w:i/>
          <w:iCs/>
          <w:sz w:val="18"/>
          <w:szCs w:val="18"/>
          <w:lang w:val="en-US"/>
        </w:rPr>
        <w:t>Impact of Smoking on Neutrophil Enzyme Levels in Gingivitis: A Case-Control Study.</w:t>
      </w:r>
      <w:r w:rsidRPr="00CC3314">
        <w:rPr>
          <w:sz w:val="18"/>
          <w:szCs w:val="18"/>
          <w:lang w:val="en-US"/>
        </w:rPr>
        <w:t xml:space="preserve"> Int J Environ Res Public Health. </w:t>
      </w:r>
      <w:r w:rsidRPr="00CC3314">
        <w:rPr>
          <w:b/>
          <w:bCs/>
          <w:sz w:val="18"/>
          <w:szCs w:val="18"/>
          <w:lang w:val="en-US"/>
        </w:rPr>
        <w:t>2021</w:t>
      </w:r>
      <w:r w:rsidRPr="00CC3314">
        <w:rPr>
          <w:sz w:val="18"/>
          <w:szCs w:val="18"/>
          <w:lang w:val="en-US"/>
        </w:rPr>
        <w:t xml:space="preserve"> Jul 30;18(15):8075. doi: 10.3390/ijerph18158075. PMID: 34360367; PMCID: PMC8345369.</w:t>
      </w:r>
    </w:p>
    <w:p w14:paraId="1FA62184" w14:textId="77777777" w:rsidR="00CC3314" w:rsidRPr="00CC3314" w:rsidRDefault="00CC3314">
      <w:pPr>
        <w:pStyle w:val="Testonotadichiusura"/>
        <w:rPr>
          <w:lang w:val="en-US"/>
        </w:rPr>
      </w:pPr>
    </w:p>
  </w:endnote>
  <w:endnote w:id="53">
    <w:p w14:paraId="1AAA4266"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CC3314">
        <w:rPr>
          <w:sz w:val="18"/>
          <w:szCs w:val="18"/>
        </w:rPr>
        <w:t xml:space="preserve"> </w:t>
      </w:r>
      <w:r w:rsidRPr="00CC3314">
        <w:rPr>
          <w:color w:val="222222"/>
          <w:sz w:val="18"/>
          <w:szCs w:val="18"/>
          <w:shd w:val="clear" w:color="auto" w:fill="FFFFFF"/>
        </w:rPr>
        <w:t xml:space="preserve">Barbour, Suzanne E., et al. </w:t>
      </w:r>
      <w:r w:rsidRPr="0072132A">
        <w:rPr>
          <w:color w:val="222222"/>
          <w:sz w:val="18"/>
          <w:szCs w:val="18"/>
          <w:shd w:val="clear" w:color="auto" w:fill="FFFFFF"/>
          <w:lang w:val="en-US"/>
        </w:rPr>
        <w:t>“</w:t>
      </w:r>
      <w:r w:rsidRPr="0072132A">
        <w:rPr>
          <w:i/>
          <w:iCs/>
          <w:color w:val="222222"/>
          <w:sz w:val="18"/>
          <w:szCs w:val="18"/>
          <w:shd w:val="clear" w:color="auto" w:fill="FFFFFF"/>
          <w:lang w:val="en-US"/>
        </w:rPr>
        <w:t>Tobacco and smoking: environmental factors that modify the host response (immune system) and have an impact on periodontal health</w:t>
      </w:r>
      <w:r w:rsidRPr="0072132A">
        <w:rPr>
          <w:color w:val="222222"/>
          <w:sz w:val="18"/>
          <w:szCs w:val="18"/>
          <w:shd w:val="clear" w:color="auto" w:fill="FFFFFF"/>
          <w:lang w:val="en-US"/>
        </w:rPr>
        <w:t>.” </w:t>
      </w:r>
      <w:r w:rsidRPr="0072132A">
        <w:rPr>
          <w:i/>
          <w:iCs/>
          <w:color w:val="222222"/>
          <w:sz w:val="18"/>
          <w:szCs w:val="18"/>
          <w:shd w:val="clear" w:color="auto" w:fill="FFFFFF"/>
          <w:lang w:val="en-US"/>
        </w:rPr>
        <w:t>Critical Reviews in Oral Biology &amp; Medicine</w:t>
      </w:r>
      <w:r w:rsidRPr="0072132A">
        <w:rPr>
          <w:color w:val="222222"/>
          <w:sz w:val="18"/>
          <w:szCs w:val="18"/>
          <w:shd w:val="clear" w:color="auto" w:fill="FFFFFF"/>
          <w:lang w:val="en-US"/>
        </w:rPr>
        <w:t xml:space="preserve"> 8.4 </w:t>
      </w:r>
      <w:r w:rsidRPr="0072132A">
        <w:rPr>
          <w:b/>
          <w:color w:val="222222"/>
          <w:sz w:val="18"/>
          <w:szCs w:val="18"/>
          <w:shd w:val="clear" w:color="auto" w:fill="FFFFFF"/>
          <w:lang w:val="en-US"/>
        </w:rPr>
        <w:t>1997</w:t>
      </w:r>
      <w:r w:rsidRPr="0072132A">
        <w:rPr>
          <w:color w:val="222222"/>
          <w:sz w:val="18"/>
          <w:szCs w:val="18"/>
          <w:shd w:val="clear" w:color="auto" w:fill="FFFFFF"/>
          <w:lang w:val="en-US"/>
        </w:rPr>
        <w:t>: 437-460.</w:t>
      </w:r>
    </w:p>
  </w:endnote>
  <w:endnote w:id="54">
    <w:p w14:paraId="681858B3" w14:textId="72200210" w:rsidR="00CC3314" w:rsidRPr="00CC3314" w:rsidRDefault="00CC3314" w:rsidP="00CC3314">
      <w:pPr>
        <w:pStyle w:val="Testonotadichiusura"/>
        <w:jc w:val="both"/>
        <w:rPr>
          <w:lang w:val="en-US"/>
        </w:rPr>
      </w:pPr>
      <w:r>
        <w:rPr>
          <w:rStyle w:val="Rimandonotadichiusura"/>
        </w:rPr>
        <w:endnoteRef/>
      </w:r>
      <w:r w:rsidRPr="00CC3314">
        <w:rPr>
          <w:lang w:val="en-US"/>
        </w:rPr>
        <w:t xml:space="preserve"> </w:t>
      </w:r>
      <w:r w:rsidRPr="00CC3314">
        <w:rPr>
          <w:sz w:val="18"/>
          <w:szCs w:val="18"/>
          <w:lang w:val="en-US"/>
        </w:rPr>
        <w:t xml:space="preserve">Jiang Y, Zhou X, Cheng L, Li M. </w:t>
      </w:r>
      <w:r w:rsidRPr="00CC3314">
        <w:rPr>
          <w:i/>
          <w:iCs/>
          <w:sz w:val="18"/>
          <w:szCs w:val="18"/>
          <w:lang w:val="en-US"/>
        </w:rPr>
        <w:t>The Impact of Smoking on Subgingival Microflora: From Periodontal Health to Disease.</w:t>
      </w:r>
      <w:r w:rsidRPr="00CC3314">
        <w:rPr>
          <w:sz w:val="18"/>
          <w:szCs w:val="18"/>
          <w:lang w:val="en-US"/>
        </w:rPr>
        <w:t xml:space="preserve"> Front Microbiol. </w:t>
      </w:r>
      <w:r w:rsidRPr="00CC3314">
        <w:rPr>
          <w:b/>
          <w:bCs/>
          <w:sz w:val="18"/>
          <w:szCs w:val="18"/>
          <w:lang w:val="en-US"/>
        </w:rPr>
        <w:t>2020</w:t>
      </w:r>
      <w:r w:rsidRPr="00CC3314">
        <w:rPr>
          <w:sz w:val="18"/>
          <w:szCs w:val="18"/>
          <w:lang w:val="en-US"/>
        </w:rPr>
        <w:t xml:space="preserve"> Jan 29;11:66. doi: 10.3389/fmicb.2020.00066. PMID: 32063898; PMCID: PMC7000377.</w:t>
      </w:r>
    </w:p>
    <w:p w14:paraId="3F14F921" w14:textId="77777777" w:rsidR="00CC3314" w:rsidRPr="00CC3314" w:rsidRDefault="00CC3314">
      <w:pPr>
        <w:pStyle w:val="Testonotadichiusura"/>
        <w:rPr>
          <w:lang w:val="en-US"/>
        </w:rPr>
      </w:pPr>
    </w:p>
  </w:endnote>
  <w:endnote w:id="55">
    <w:p w14:paraId="10C1FEDA" w14:textId="77777777" w:rsidR="00E363D9" w:rsidRPr="0072132A" w:rsidRDefault="00E363D9" w:rsidP="0072132A">
      <w:pPr>
        <w:spacing w:after="120"/>
        <w:jc w:val="both"/>
        <w:rPr>
          <w:sz w:val="18"/>
          <w:szCs w:val="18"/>
          <w:lang w:val="en-US"/>
        </w:rPr>
      </w:pPr>
      <w:r w:rsidRPr="0072132A">
        <w:rPr>
          <w:rStyle w:val="Rimandonotadichiusura"/>
          <w:sz w:val="18"/>
          <w:szCs w:val="18"/>
        </w:rPr>
        <w:endnoteRef/>
      </w:r>
      <w:r w:rsidRPr="0072132A">
        <w:rPr>
          <w:sz w:val="18"/>
          <w:szCs w:val="18"/>
          <w:lang w:val="en-US"/>
        </w:rPr>
        <w:t xml:space="preserve"> </w:t>
      </w:r>
      <w:r w:rsidRPr="0072132A">
        <w:rPr>
          <w:color w:val="222222"/>
          <w:sz w:val="18"/>
          <w:szCs w:val="18"/>
          <w:shd w:val="clear" w:color="auto" w:fill="FFFFFF"/>
          <w:lang w:val="en-US"/>
        </w:rPr>
        <w:t>Breivik, Torbjørn, et al. “</w:t>
      </w:r>
      <w:r w:rsidRPr="0072132A">
        <w:rPr>
          <w:i/>
          <w:iCs/>
          <w:color w:val="222222"/>
          <w:sz w:val="18"/>
          <w:szCs w:val="18"/>
          <w:shd w:val="clear" w:color="auto" w:fill="FFFFFF"/>
          <w:lang w:val="en-US"/>
        </w:rPr>
        <w:t>Effects of hypothalamic‐pituitary‐adrenal axis reactivity on periodontal tissue destruction in rats</w:t>
      </w:r>
      <w:r w:rsidRPr="0072132A">
        <w:rPr>
          <w:color w:val="222222"/>
          <w:sz w:val="18"/>
          <w:szCs w:val="18"/>
          <w:shd w:val="clear" w:color="auto" w:fill="FFFFFF"/>
          <w:lang w:val="en-US"/>
        </w:rPr>
        <w:t>.” </w:t>
      </w:r>
      <w:r w:rsidRPr="0072132A">
        <w:rPr>
          <w:i/>
          <w:iCs/>
          <w:color w:val="222222"/>
          <w:sz w:val="18"/>
          <w:szCs w:val="18"/>
          <w:shd w:val="clear" w:color="auto" w:fill="FFFFFF"/>
          <w:lang w:val="en-US"/>
        </w:rPr>
        <w:t>European journal of oral sciences</w:t>
      </w:r>
      <w:r w:rsidRPr="0072132A">
        <w:rPr>
          <w:color w:val="222222"/>
          <w:sz w:val="18"/>
          <w:szCs w:val="18"/>
          <w:shd w:val="clear" w:color="auto" w:fill="FFFFFF"/>
          <w:lang w:val="en-US"/>
        </w:rPr>
        <w:t xml:space="preserve"> 108.2 </w:t>
      </w:r>
      <w:r w:rsidRPr="0072132A">
        <w:rPr>
          <w:b/>
          <w:color w:val="222222"/>
          <w:sz w:val="18"/>
          <w:szCs w:val="18"/>
          <w:shd w:val="clear" w:color="auto" w:fill="FFFFFF"/>
          <w:lang w:val="en-US"/>
        </w:rPr>
        <w:t>2000:</w:t>
      </w:r>
      <w:r w:rsidRPr="0072132A">
        <w:rPr>
          <w:color w:val="222222"/>
          <w:sz w:val="18"/>
          <w:szCs w:val="18"/>
          <w:shd w:val="clear" w:color="auto" w:fill="FFFFFF"/>
          <w:lang w:val="en-US"/>
        </w:rPr>
        <w:t xml:space="preserve"> 115-122.</w:t>
      </w:r>
    </w:p>
  </w:endnote>
  <w:endnote w:id="56">
    <w:p w14:paraId="10E43EDD" w14:textId="5EF86CA2" w:rsidR="00CC3314" w:rsidRPr="00CC3314" w:rsidRDefault="00CC3314" w:rsidP="00CC3314">
      <w:pPr>
        <w:pStyle w:val="Testonotadichiusura"/>
        <w:jc w:val="both"/>
        <w:rPr>
          <w:sz w:val="18"/>
          <w:szCs w:val="18"/>
          <w:lang w:val="en-US"/>
        </w:rPr>
      </w:pPr>
      <w:r>
        <w:rPr>
          <w:rStyle w:val="Rimandonotadichiusura"/>
        </w:rPr>
        <w:endnoteRef/>
      </w:r>
      <w:r w:rsidRPr="00CC3314">
        <w:rPr>
          <w:lang w:val="en-US"/>
        </w:rPr>
        <w:t xml:space="preserve"> </w:t>
      </w:r>
      <w:r w:rsidRPr="00CC3314">
        <w:rPr>
          <w:sz w:val="18"/>
          <w:szCs w:val="18"/>
          <w:lang w:val="en-US"/>
        </w:rPr>
        <w:t xml:space="preserve">Bellavance MA, Rivest S. </w:t>
      </w:r>
      <w:r w:rsidRPr="00CC3314">
        <w:rPr>
          <w:i/>
          <w:iCs/>
          <w:sz w:val="18"/>
          <w:szCs w:val="18"/>
          <w:lang w:val="en-US"/>
        </w:rPr>
        <w:t xml:space="preserve">The HPA - Immune Axis and the Immunomodulatory Actions of Glucocorticoids in the Brain. </w:t>
      </w:r>
      <w:r w:rsidRPr="00CC3314">
        <w:rPr>
          <w:sz w:val="18"/>
          <w:szCs w:val="18"/>
          <w:lang w:val="en-US"/>
        </w:rPr>
        <w:t xml:space="preserve">Front Immunol. </w:t>
      </w:r>
      <w:r w:rsidRPr="00CC3314">
        <w:rPr>
          <w:b/>
          <w:bCs/>
          <w:sz w:val="18"/>
          <w:szCs w:val="18"/>
          <w:lang w:val="en-US"/>
        </w:rPr>
        <w:t>2014</w:t>
      </w:r>
      <w:r w:rsidRPr="00CC3314">
        <w:rPr>
          <w:sz w:val="18"/>
          <w:szCs w:val="18"/>
          <w:lang w:val="en-US"/>
        </w:rPr>
        <w:t xml:space="preserve"> Mar 31;5:136. doi: 10.3389/fimmu.2014.00136. PMID: 24744759; PMCID: PMC3978367.</w:t>
      </w:r>
    </w:p>
    <w:p w14:paraId="54C66983" w14:textId="77777777" w:rsidR="00CC3314" w:rsidRPr="00CC3314" w:rsidRDefault="00CC3314">
      <w:pPr>
        <w:pStyle w:val="Testonotadichiusura"/>
        <w:rPr>
          <w:lang w:val="en-US"/>
        </w:rPr>
      </w:pPr>
    </w:p>
  </w:endnote>
  <w:endnote w:id="57">
    <w:p w14:paraId="7D5AA2B8" w14:textId="77777777" w:rsidR="00E363D9" w:rsidRPr="003A26DC" w:rsidRDefault="00E363D9" w:rsidP="003A26DC">
      <w:pPr>
        <w:spacing w:after="120"/>
        <w:jc w:val="both"/>
        <w:rPr>
          <w:sz w:val="18"/>
          <w:szCs w:val="18"/>
          <w:lang w:val="en-US"/>
        </w:rPr>
      </w:pPr>
      <w:r w:rsidRPr="0072132A">
        <w:rPr>
          <w:rStyle w:val="Rimandonotadichiusura"/>
          <w:sz w:val="18"/>
          <w:szCs w:val="18"/>
        </w:rPr>
        <w:endnoteRef/>
      </w:r>
      <w:r w:rsidRPr="00F97FD6">
        <w:rPr>
          <w:sz w:val="18"/>
          <w:szCs w:val="18"/>
          <w:lang w:val="en-US"/>
        </w:rPr>
        <w:t xml:space="preserve"> </w:t>
      </w:r>
      <w:r w:rsidRPr="00F97FD6">
        <w:rPr>
          <w:color w:val="222222"/>
          <w:sz w:val="18"/>
          <w:szCs w:val="18"/>
          <w:shd w:val="clear" w:color="auto" w:fill="FFFFFF"/>
          <w:lang w:val="en-US"/>
        </w:rPr>
        <w:t xml:space="preserve">Reiche, Edna Maria Vissoci, Sandra Odebrecht Vargas Nunes, and Helena Kaminami Morimoto. </w:t>
      </w:r>
      <w:r w:rsidRPr="0072132A">
        <w:rPr>
          <w:color w:val="222222"/>
          <w:sz w:val="18"/>
          <w:szCs w:val="18"/>
          <w:shd w:val="clear" w:color="auto" w:fill="FFFFFF"/>
          <w:lang w:val="en-US"/>
        </w:rPr>
        <w:t>“</w:t>
      </w:r>
      <w:r w:rsidRPr="0072132A">
        <w:rPr>
          <w:i/>
          <w:iCs/>
          <w:color w:val="222222"/>
          <w:sz w:val="18"/>
          <w:szCs w:val="18"/>
          <w:shd w:val="clear" w:color="auto" w:fill="FFFFFF"/>
          <w:lang w:val="en-US"/>
        </w:rPr>
        <w:t xml:space="preserve">Stress, depression, the </w:t>
      </w:r>
      <w:r w:rsidRPr="003A26DC">
        <w:rPr>
          <w:i/>
          <w:iCs/>
          <w:color w:val="222222"/>
          <w:sz w:val="18"/>
          <w:szCs w:val="18"/>
          <w:shd w:val="clear" w:color="auto" w:fill="FFFFFF"/>
          <w:lang w:val="en-US"/>
        </w:rPr>
        <w:t>immune system, and cancer</w:t>
      </w:r>
      <w:r w:rsidRPr="003A26DC">
        <w:rPr>
          <w:color w:val="222222"/>
          <w:sz w:val="18"/>
          <w:szCs w:val="18"/>
          <w:shd w:val="clear" w:color="auto" w:fill="FFFFFF"/>
          <w:lang w:val="en-US"/>
        </w:rPr>
        <w:t>.” </w:t>
      </w:r>
      <w:r w:rsidRPr="003A26DC">
        <w:rPr>
          <w:i/>
          <w:iCs/>
          <w:color w:val="222222"/>
          <w:sz w:val="18"/>
          <w:szCs w:val="18"/>
          <w:shd w:val="clear" w:color="auto" w:fill="FFFFFF"/>
          <w:lang w:val="en-US"/>
        </w:rPr>
        <w:t>The lancet oncology</w:t>
      </w:r>
      <w:r w:rsidRPr="003A26DC">
        <w:rPr>
          <w:color w:val="222222"/>
          <w:sz w:val="18"/>
          <w:szCs w:val="18"/>
          <w:shd w:val="clear" w:color="auto" w:fill="FFFFFF"/>
          <w:lang w:val="en-US"/>
        </w:rPr>
        <w:t xml:space="preserve"> 5.10 </w:t>
      </w:r>
      <w:r w:rsidRPr="003A26DC">
        <w:rPr>
          <w:b/>
          <w:color w:val="222222"/>
          <w:sz w:val="18"/>
          <w:szCs w:val="18"/>
          <w:shd w:val="clear" w:color="auto" w:fill="FFFFFF"/>
          <w:lang w:val="en-US"/>
        </w:rPr>
        <w:t>2004</w:t>
      </w:r>
      <w:r w:rsidRPr="003A26DC">
        <w:rPr>
          <w:color w:val="222222"/>
          <w:sz w:val="18"/>
          <w:szCs w:val="18"/>
          <w:shd w:val="clear" w:color="auto" w:fill="FFFFFF"/>
          <w:lang w:val="en-US"/>
        </w:rPr>
        <w:t>: 617-625.</w:t>
      </w:r>
    </w:p>
  </w:endnote>
  <w:endnote w:id="58">
    <w:p w14:paraId="7485DFF5" w14:textId="2CCE5C61" w:rsidR="00BD33D9" w:rsidRPr="00BD33D9" w:rsidRDefault="00BD33D9" w:rsidP="00BD33D9">
      <w:pPr>
        <w:pStyle w:val="Testonotadichiusura"/>
        <w:jc w:val="both"/>
        <w:rPr>
          <w:lang w:val="en-US"/>
        </w:rPr>
      </w:pPr>
      <w:r>
        <w:rPr>
          <w:rStyle w:val="Rimandonotadichiusura"/>
        </w:rPr>
        <w:endnoteRef/>
      </w:r>
      <w:r w:rsidRPr="00BD33D9">
        <w:rPr>
          <w:lang w:val="en-US"/>
        </w:rPr>
        <w:t xml:space="preserve"> </w:t>
      </w:r>
      <w:r w:rsidRPr="00BD33D9">
        <w:rPr>
          <w:sz w:val="18"/>
          <w:szCs w:val="18"/>
          <w:lang w:val="en-US"/>
        </w:rPr>
        <w:t xml:space="preserve">Sadrejamali M, Mohammadi S, Esfahanizadeh N. </w:t>
      </w:r>
      <w:r w:rsidRPr="00BD33D9">
        <w:rPr>
          <w:i/>
          <w:iCs/>
          <w:sz w:val="18"/>
          <w:szCs w:val="18"/>
          <w:lang w:val="en-US"/>
        </w:rPr>
        <w:t>Evaluation of salivary cortisol levels in peri-implant diseases: An analytical observational study.</w:t>
      </w:r>
      <w:r w:rsidRPr="00BD33D9">
        <w:rPr>
          <w:sz w:val="18"/>
          <w:szCs w:val="18"/>
          <w:lang w:val="en-US"/>
        </w:rPr>
        <w:t xml:space="preserve"> J Adv Periodontol Implant Dent. </w:t>
      </w:r>
      <w:r w:rsidRPr="00BD33D9">
        <w:rPr>
          <w:b/>
          <w:bCs/>
          <w:sz w:val="18"/>
          <w:szCs w:val="18"/>
          <w:lang w:val="en-US"/>
        </w:rPr>
        <w:t>2025</w:t>
      </w:r>
      <w:r w:rsidRPr="00BD33D9">
        <w:rPr>
          <w:sz w:val="18"/>
          <w:szCs w:val="18"/>
          <w:lang w:val="en-US"/>
        </w:rPr>
        <w:t xml:space="preserve"> Oct 19;17(4):188-195. doi: 10.34172/japid.025.3817. PMID: 41399637; PMCID: PMC12702085.</w:t>
      </w:r>
    </w:p>
    <w:p w14:paraId="2194373A" w14:textId="77777777" w:rsidR="00BD33D9" w:rsidRPr="00BD33D9" w:rsidRDefault="00BD33D9">
      <w:pPr>
        <w:pStyle w:val="Testonotadichiusura"/>
        <w:rPr>
          <w:lang w:val="en-US"/>
        </w:rPr>
      </w:pPr>
    </w:p>
  </w:endnote>
  <w:endnote w:id="59">
    <w:p w14:paraId="0D59DC6A" w14:textId="0507BE08" w:rsidR="00BD33D9" w:rsidRPr="00BD33D9" w:rsidRDefault="00BD33D9" w:rsidP="00BD33D9">
      <w:pPr>
        <w:pStyle w:val="Testonotadichiusura"/>
        <w:jc w:val="both"/>
        <w:rPr>
          <w:lang w:val="en-US"/>
        </w:rPr>
      </w:pPr>
      <w:r>
        <w:rPr>
          <w:rStyle w:val="Rimandonotadichiusura"/>
        </w:rPr>
        <w:endnoteRef/>
      </w:r>
      <w:r w:rsidRPr="00BD33D9">
        <w:rPr>
          <w:lang w:val="en-US"/>
        </w:rPr>
        <w:t xml:space="preserve"> </w:t>
      </w:r>
      <w:r w:rsidRPr="00BD33D9">
        <w:rPr>
          <w:sz w:val="18"/>
          <w:szCs w:val="18"/>
          <w:lang w:val="en-US"/>
        </w:rPr>
        <w:t xml:space="preserve">Liu L, Yu Y, Fei Z, Li M, Wu FX, Li HD, Pan Y, Wang J. </w:t>
      </w:r>
      <w:r w:rsidRPr="00BD33D9">
        <w:rPr>
          <w:i/>
          <w:iCs/>
          <w:sz w:val="18"/>
          <w:szCs w:val="18"/>
          <w:lang w:val="en-US"/>
        </w:rPr>
        <w:t>An interpretable boosting model to predict side effects of analgesics for osteoarthritis. BMC Syst Biol</w:t>
      </w:r>
      <w:r w:rsidRPr="00BD33D9">
        <w:rPr>
          <w:sz w:val="18"/>
          <w:szCs w:val="18"/>
          <w:lang w:val="en-US"/>
        </w:rPr>
        <w:t xml:space="preserve">. </w:t>
      </w:r>
      <w:r w:rsidRPr="00BD33D9">
        <w:rPr>
          <w:b/>
          <w:bCs/>
          <w:sz w:val="18"/>
          <w:szCs w:val="18"/>
          <w:lang w:val="en-US"/>
        </w:rPr>
        <w:t>2018</w:t>
      </w:r>
      <w:r w:rsidRPr="00BD33D9">
        <w:rPr>
          <w:sz w:val="18"/>
          <w:szCs w:val="18"/>
          <w:lang w:val="en-US"/>
        </w:rPr>
        <w:t xml:space="preserve"> Nov 22;12(Suppl 6):105. doi: 10.1186/s12918-018-0624-4. PMID: 30463545; PMCID: PMC6249730.</w:t>
      </w:r>
    </w:p>
    <w:p w14:paraId="1CA2350E" w14:textId="77777777" w:rsidR="00BD33D9" w:rsidRPr="00BD33D9" w:rsidRDefault="00BD33D9">
      <w:pPr>
        <w:pStyle w:val="Testonotadichiusura"/>
        <w:rPr>
          <w:lang w:val="en-US"/>
        </w:rPr>
      </w:pPr>
    </w:p>
  </w:endnote>
  <w:endnote w:id="60">
    <w:p w14:paraId="3FBE36CE" w14:textId="235B7D98" w:rsidR="00BD33D9" w:rsidRPr="00BD33D9" w:rsidRDefault="00BD33D9" w:rsidP="00BD33D9">
      <w:pPr>
        <w:pStyle w:val="Testonotadichiusura"/>
        <w:jc w:val="both"/>
        <w:rPr>
          <w:sz w:val="18"/>
          <w:szCs w:val="18"/>
          <w:lang w:val="en-US"/>
        </w:rPr>
      </w:pPr>
      <w:r>
        <w:rPr>
          <w:rStyle w:val="Rimandonotadichiusura"/>
        </w:rPr>
        <w:endnoteRef/>
      </w:r>
      <w:r w:rsidRPr="00BD33D9">
        <w:rPr>
          <w:lang w:val="en-US"/>
        </w:rPr>
        <w:t xml:space="preserve"> </w:t>
      </w:r>
      <w:r w:rsidRPr="00BD33D9">
        <w:rPr>
          <w:sz w:val="18"/>
          <w:szCs w:val="18"/>
          <w:lang w:val="en-US"/>
        </w:rPr>
        <w:t xml:space="preserve">Kee OT, Harun H, Mustafa N, Abdul Murad NA, Chin SF, Jaafar R, Abdullah N. </w:t>
      </w:r>
      <w:r w:rsidRPr="00BD33D9">
        <w:rPr>
          <w:i/>
          <w:iCs/>
          <w:sz w:val="18"/>
          <w:szCs w:val="18"/>
          <w:lang w:val="en-US"/>
        </w:rPr>
        <w:t>Cardiovascular complications in a diabetes prediction model using machine learning: a systematic review. Cardiovasc Diabetol.</w:t>
      </w:r>
      <w:r w:rsidRPr="00BD33D9">
        <w:rPr>
          <w:sz w:val="18"/>
          <w:szCs w:val="18"/>
          <w:lang w:val="en-US"/>
        </w:rPr>
        <w:t xml:space="preserve"> </w:t>
      </w:r>
      <w:r w:rsidRPr="00BD33D9">
        <w:rPr>
          <w:b/>
          <w:bCs/>
          <w:sz w:val="18"/>
          <w:szCs w:val="18"/>
          <w:lang w:val="en-US"/>
        </w:rPr>
        <w:t>2023</w:t>
      </w:r>
      <w:r w:rsidRPr="00BD33D9">
        <w:rPr>
          <w:sz w:val="18"/>
          <w:szCs w:val="18"/>
          <w:lang w:val="en-US"/>
        </w:rPr>
        <w:t xml:space="preserve"> Jan 19;22(1):13. doi: 10.1186/s12933-023-01741-7. PMID: 36658644; PMCID: PMC9854013.</w:t>
      </w:r>
    </w:p>
    <w:p w14:paraId="3713E940" w14:textId="77777777" w:rsidR="00BD33D9" w:rsidRPr="00BD33D9" w:rsidRDefault="00BD33D9">
      <w:pPr>
        <w:pStyle w:val="Testonotadichiusura"/>
        <w:rPr>
          <w:lang w:val="en-US"/>
        </w:rPr>
      </w:pPr>
    </w:p>
  </w:endnote>
  <w:endnote w:id="61">
    <w:p w14:paraId="4CF0350C" w14:textId="316B3C85" w:rsidR="00BD33D9" w:rsidRPr="00D73971" w:rsidRDefault="00BD33D9" w:rsidP="00BD33D9">
      <w:pPr>
        <w:pStyle w:val="Testonotadichiusura"/>
        <w:jc w:val="both"/>
        <w:rPr>
          <w:lang w:val="en-US"/>
        </w:rPr>
      </w:pPr>
      <w:r>
        <w:rPr>
          <w:rStyle w:val="Rimandonotadichiusura"/>
        </w:rPr>
        <w:endnoteRef/>
      </w:r>
      <w:r w:rsidRPr="00BD33D9">
        <w:rPr>
          <w:lang w:val="en-US"/>
        </w:rPr>
        <w:t xml:space="preserve"> </w:t>
      </w:r>
      <w:r w:rsidRPr="00BD33D9">
        <w:rPr>
          <w:sz w:val="18"/>
          <w:szCs w:val="18"/>
          <w:lang w:val="en-US"/>
        </w:rPr>
        <w:t xml:space="preserve">Swoboda CM, Miller CK, Wills CE. </w:t>
      </w:r>
      <w:r w:rsidRPr="00BD33D9">
        <w:rPr>
          <w:i/>
          <w:iCs/>
          <w:sz w:val="18"/>
          <w:szCs w:val="18"/>
          <w:lang w:val="en-US"/>
        </w:rPr>
        <w:t xml:space="preserve">Setting Single or Multiple Goals for Diet and Physical Activity Behaviors Improves Cardiovascular Disease Risk Factors in Adults With Type 2 Diabetes: A Pragmatic Pilot Randomized Trial. </w:t>
      </w:r>
      <w:r w:rsidRPr="00D73971">
        <w:rPr>
          <w:i/>
          <w:iCs/>
          <w:sz w:val="18"/>
          <w:szCs w:val="18"/>
          <w:lang w:val="en-US"/>
        </w:rPr>
        <w:t>Diabetes</w:t>
      </w:r>
      <w:r w:rsidRPr="00D73971">
        <w:rPr>
          <w:sz w:val="18"/>
          <w:szCs w:val="18"/>
          <w:lang w:val="en-US"/>
        </w:rPr>
        <w:t xml:space="preserve"> Educ. </w:t>
      </w:r>
      <w:r w:rsidRPr="00D73971">
        <w:rPr>
          <w:b/>
          <w:bCs/>
          <w:sz w:val="18"/>
          <w:szCs w:val="18"/>
          <w:lang w:val="en-US"/>
        </w:rPr>
        <w:t>2016</w:t>
      </w:r>
      <w:r w:rsidRPr="00D73971">
        <w:rPr>
          <w:sz w:val="18"/>
          <w:szCs w:val="18"/>
          <w:lang w:val="en-US"/>
        </w:rPr>
        <w:t xml:space="preserve"> Aug;42(4):429-43. doi: 10.1177/0145721716650043. Epub 2016 May 18. PMID: 27194048.</w:t>
      </w:r>
    </w:p>
    <w:p w14:paraId="132B6E7D" w14:textId="77777777" w:rsidR="00BD33D9" w:rsidRPr="00D73971" w:rsidRDefault="00BD33D9">
      <w:pPr>
        <w:pStyle w:val="Testonotadichiusura"/>
        <w:rPr>
          <w:lang w:val="en-US"/>
        </w:rPr>
      </w:pPr>
    </w:p>
  </w:endnote>
  <w:endnote w:id="62">
    <w:p w14:paraId="7AEA6DC5" w14:textId="5FC39D6A" w:rsidR="003A26DC" w:rsidRPr="003A26DC" w:rsidRDefault="003A26DC" w:rsidP="003A26DC">
      <w:pPr>
        <w:pStyle w:val="Testonotadichiusura"/>
        <w:jc w:val="both"/>
        <w:rPr>
          <w:sz w:val="18"/>
          <w:szCs w:val="18"/>
          <w:lang w:val="en-US"/>
        </w:rPr>
      </w:pPr>
      <w:r w:rsidRPr="003A26DC">
        <w:rPr>
          <w:rStyle w:val="Rimandonotadichiusura"/>
          <w:sz w:val="18"/>
          <w:szCs w:val="18"/>
        </w:rPr>
        <w:endnoteRef/>
      </w:r>
      <w:r w:rsidRPr="003A26DC">
        <w:rPr>
          <w:sz w:val="18"/>
          <w:szCs w:val="18"/>
          <w:lang w:val="en-US"/>
        </w:rPr>
        <w:t xml:space="preserve"> Lerner UH. </w:t>
      </w:r>
      <w:r w:rsidRPr="003A26DC">
        <w:rPr>
          <w:i/>
          <w:iCs/>
          <w:sz w:val="18"/>
          <w:szCs w:val="18"/>
          <w:lang w:val="en-US"/>
        </w:rPr>
        <w:t>Bone remodeling in post-menopausal osteoporosis</w:t>
      </w:r>
      <w:r w:rsidRPr="003A26DC">
        <w:rPr>
          <w:sz w:val="18"/>
          <w:szCs w:val="18"/>
          <w:lang w:val="en-US"/>
        </w:rPr>
        <w:t xml:space="preserve">. J Dent Res. </w:t>
      </w:r>
      <w:r w:rsidRPr="003A26DC">
        <w:rPr>
          <w:b/>
          <w:bCs/>
          <w:sz w:val="18"/>
          <w:szCs w:val="18"/>
          <w:lang w:val="en-US"/>
        </w:rPr>
        <w:t>2006</w:t>
      </w:r>
      <w:r w:rsidRPr="003A26DC">
        <w:rPr>
          <w:sz w:val="18"/>
          <w:szCs w:val="18"/>
          <w:lang w:val="en-US"/>
        </w:rPr>
        <w:t xml:space="preserve"> Jul;85(7):584-95. doi: 10.1177/154405910608500703. PMID: 16798857.</w:t>
      </w:r>
    </w:p>
    <w:p w14:paraId="417FEDC0" w14:textId="77777777" w:rsidR="003A26DC" w:rsidRPr="003A26DC" w:rsidRDefault="003A26DC">
      <w:pPr>
        <w:pStyle w:val="Testonotadichiusura"/>
        <w:rPr>
          <w:lang w:val="en-US"/>
        </w:rPr>
      </w:pPr>
    </w:p>
  </w:endnote>
  <w:endnote w:id="63">
    <w:p w14:paraId="67C5128C" w14:textId="49CAB561" w:rsidR="00CC3314" w:rsidRPr="00F97FD6" w:rsidRDefault="00CC3314" w:rsidP="00CC3314">
      <w:pPr>
        <w:pStyle w:val="Testonotadichiusura"/>
        <w:jc w:val="both"/>
        <w:rPr>
          <w:sz w:val="18"/>
          <w:szCs w:val="18"/>
          <w:lang w:val="en-US"/>
        </w:rPr>
      </w:pPr>
      <w:r>
        <w:rPr>
          <w:rStyle w:val="Rimandonotadichiusura"/>
        </w:rPr>
        <w:endnoteRef/>
      </w:r>
      <w:r w:rsidRPr="00CC3314">
        <w:rPr>
          <w:lang w:val="en-US"/>
        </w:rPr>
        <w:t xml:space="preserve"> </w:t>
      </w:r>
      <w:r w:rsidRPr="00CC3314">
        <w:rPr>
          <w:sz w:val="18"/>
          <w:szCs w:val="18"/>
          <w:lang w:val="en-US"/>
        </w:rPr>
        <w:t xml:space="preserve">Nualart Grollmus ZC, Morales Chávez MC, Silvestre Donat FJ. </w:t>
      </w:r>
      <w:r w:rsidRPr="00CC3314">
        <w:rPr>
          <w:i/>
          <w:iCs/>
          <w:sz w:val="18"/>
          <w:szCs w:val="18"/>
          <w:lang w:val="en-US"/>
        </w:rPr>
        <w:t xml:space="preserve">Periodontal disease associated to systemic genetic disorders. </w:t>
      </w:r>
      <w:r w:rsidRPr="00F97FD6">
        <w:rPr>
          <w:i/>
          <w:iCs/>
          <w:sz w:val="18"/>
          <w:szCs w:val="18"/>
          <w:lang w:val="en-US"/>
        </w:rPr>
        <w:t>Med Oral Patol Oral Cir Bucal.</w:t>
      </w:r>
      <w:r w:rsidRPr="00F97FD6">
        <w:rPr>
          <w:sz w:val="18"/>
          <w:szCs w:val="18"/>
          <w:lang w:val="en-US"/>
        </w:rPr>
        <w:t xml:space="preserve"> </w:t>
      </w:r>
      <w:r w:rsidRPr="00F97FD6">
        <w:rPr>
          <w:b/>
          <w:bCs/>
          <w:sz w:val="18"/>
          <w:szCs w:val="18"/>
          <w:lang w:val="en-US"/>
        </w:rPr>
        <w:t>2007</w:t>
      </w:r>
      <w:r w:rsidRPr="00F97FD6">
        <w:rPr>
          <w:sz w:val="18"/>
          <w:szCs w:val="18"/>
          <w:lang w:val="en-US"/>
        </w:rPr>
        <w:t xml:space="preserve"> May 1;12(3):E211-5. PMID: 17468717.</w:t>
      </w:r>
    </w:p>
    <w:p w14:paraId="3497F973" w14:textId="77777777" w:rsidR="00CC3314" w:rsidRPr="00CC3314" w:rsidRDefault="00CC3314">
      <w:pPr>
        <w:pStyle w:val="Testonotadichiusura"/>
        <w:rPr>
          <w:lang w:val="en-US"/>
        </w:rPr>
      </w:pPr>
    </w:p>
  </w:endnote>
  <w:endnote w:id="64">
    <w:p w14:paraId="03DD6515" w14:textId="388C1809" w:rsidR="00CC3314" w:rsidRPr="00CC3314" w:rsidRDefault="00CC3314" w:rsidP="00CC3314">
      <w:pPr>
        <w:pStyle w:val="Testonotadichiusura"/>
        <w:jc w:val="both"/>
        <w:rPr>
          <w:sz w:val="18"/>
          <w:szCs w:val="18"/>
          <w:lang w:val="en-US"/>
        </w:rPr>
      </w:pPr>
      <w:r>
        <w:rPr>
          <w:rStyle w:val="Rimandonotadichiusura"/>
        </w:rPr>
        <w:endnoteRef/>
      </w:r>
      <w:r w:rsidRPr="00CC3314">
        <w:rPr>
          <w:lang w:val="en-US"/>
        </w:rPr>
        <w:t xml:space="preserve"> </w:t>
      </w:r>
      <w:r w:rsidRPr="00CC3314">
        <w:rPr>
          <w:sz w:val="18"/>
          <w:szCs w:val="18"/>
          <w:lang w:val="en-US"/>
        </w:rPr>
        <w:t xml:space="preserve">Roberts H, White P, Dias I, McKaig S, Veeramachaneni R, Thakker N, Grant M, Chapple I. </w:t>
      </w:r>
      <w:r w:rsidRPr="00CC3314">
        <w:rPr>
          <w:i/>
          <w:iCs/>
          <w:sz w:val="18"/>
          <w:szCs w:val="18"/>
          <w:lang w:val="en-US"/>
        </w:rPr>
        <w:t>Characterization of neutrophil function in Papillon-Lefèvre syndrome.</w:t>
      </w:r>
      <w:r w:rsidRPr="00CC3314">
        <w:rPr>
          <w:sz w:val="18"/>
          <w:szCs w:val="18"/>
          <w:lang w:val="en-US"/>
        </w:rPr>
        <w:t xml:space="preserve"> J Leukoc Biol. </w:t>
      </w:r>
      <w:r w:rsidRPr="00CC3314">
        <w:rPr>
          <w:b/>
          <w:bCs/>
          <w:sz w:val="18"/>
          <w:szCs w:val="18"/>
          <w:lang w:val="en-US"/>
        </w:rPr>
        <w:t>2016</w:t>
      </w:r>
      <w:r w:rsidRPr="00CC3314">
        <w:rPr>
          <w:sz w:val="18"/>
          <w:szCs w:val="18"/>
          <w:lang w:val="en-US"/>
        </w:rPr>
        <w:t xml:space="preserve"> Aug;100(2):433-44. doi: 10.1189/jlb.5A1015-489R. Epub 2016 Mar 8. PMID: 26957212.</w:t>
      </w:r>
    </w:p>
    <w:p w14:paraId="31525481" w14:textId="77777777" w:rsidR="00CC3314" w:rsidRPr="00CC3314" w:rsidRDefault="00CC3314">
      <w:pPr>
        <w:pStyle w:val="Testonotadichiusura"/>
        <w:rPr>
          <w:lang w:val="en-US"/>
        </w:rPr>
      </w:pPr>
    </w:p>
  </w:endnote>
  <w:endnote w:id="65">
    <w:p w14:paraId="1541F074" w14:textId="7204226C" w:rsidR="00B42D3A" w:rsidRDefault="00B42D3A" w:rsidP="00B42D3A">
      <w:pPr>
        <w:pStyle w:val="Testonotadichiusura"/>
        <w:jc w:val="both"/>
        <w:rPr>
          <w:sz w:val="18"/>
          <w:szCs w:val="18"/>
          <w:lang w:val="en-US"/>
        </w:rPr>
      </w:pPr>
      <w:r>
        <w:rPr>
          <w:rStyle w:val="Rimandonotadichiusura"/>
        </w:rPr>
        <w:endnoteRef/>
      </w:r>
      <w:r w:rsidRPr="00B42D3A">
        <w:rPr>
          <w:lang w:val="en-US"/>
        </w:rPr>
        <w:t xml:space="preserve"> </w:t>
      </w:r>
      <w:r w:rsidRPr="00B42D3A">
        <w:rPr>
          <w:sz w:val="18"/>
          <w:szCs w:val="18"/>
          <w:lang w:val="en-US"/>
        </w:rPr>
        <w:t xml:space="preserve">Armitage GC. </w:t>
      </w:r>
      <w:r w:rsidRPr="00B42D3A">
        <w:rPr>
          <w:i/>
          <w:iCs/>
          <w:sz w:val="18"/>
          <w:szCs w:val="18"/>
          <w:lang w:val="en-US"/>
        </w:rPr>
        <w:t>Development of a classification system for periodontal diseases and conditions</w:t>
      </w:r>
      <w:r w:rsidRPr="00B42D3A">
        <w:rPr>
          <w:sz w:val="18"/>
          <w:szCs w:val="18"/>
          <w:lang w:val="en-US"/>
        </w:rPr>
        <w:t xml:space="preserve">. Ann Periodontol. </w:t>
      </w:r>
      <w:r w:rsidRPr="00B42D3A">
        <w:rPr>
          <w:b/>
          <w:bCs/>
          <w:sz w:val="18"/>
          <w:szCs w:val="18"/>
          <w:lang w:val="en-US"/>
        </w:rPr>
        <w:t>199</w:t>
      </w:r>
      <w:r w:rsidRPr="00F97FD6">
        <w:rPr>
          <w:b/>
          <w:bCs/>
          <w:sz w:val="18"/>
          <w:szCs w:val="18"/>
          <w:lang w:val="en-US"/>
        </w:rPr>
        <w:t>9</w:t>
      </w:r>
      <w:r w:rsidRPr="00F97FD6">
        <w:rPr>
          <w:sz w:val="18"/>
          <w:szCs w:val="18"/>
          <w:lang w:val="en-US"/>
        </w:rPr>
        <w:t xml:space="preserve"> Dec;4(1):1-6. doi: 10.1902/annals.1999.4.1.1. PMID: 10863370.</w:t>
      </w:r>
    </w:p>
    <w:p w14:paraId="4E9EB546" w14:textId="77777777" w:rsidR="00BD33D9" w:rsidRPr="00B42D3A" w:rsidRDefault="00BD33D9" w:rsidP="00B42D3A">
      <w:pPr>
        <w:pStyle w:val="Testonotadichiusura"/>
        <w:jc w:val="both"/>
        <w:rPr>
          <w:lang w:val="en-US"/>
        </w:rPr>
      </w:pPr>
    </w:p>
  </w:endnote>
  <w:endnote w:id="66">
    <w:p w14:paraId="5E184486" w14:textId="473FC585" w:rsidR="00CC3314" w:rsidRDefault="00CC3314" w:rsidP="00CC3314">
      <w:pPr>
        <w:pStyle w:val="Testonotadichiusura"/>
        <w:jc w:val="both"/>
        <w:rPr>
          <w:sz w:val="18"/>
          <w:szCs w:val="18"/>
          <w:lang w:val="en-US"/>
        </w:rPr>
      </w:pPr>
      <w:r>
        <w:rPr>
          <w:rStyle w:val="Rimandonotadichiusura"/>
        </w:rPr>
        <w:endnoteRef/>
      </w:r>
      <w:r w:rsidRPr="00CC3314">
        <w:rPr>
          <w:lang w:val="en-US"/>
        </w:rPr>
        <w:t xml:space="preserve"> </w:t>
      </w:r>
      <w:r w:rsidRPr="00CC3314">
        <w:rPr>
          <w:sz w:val="18"/>
          <w:szCs w:val="18"/>
          <w:lang w:val="en-US"/>
        </w:rPr>
        <w:t xml:space="preserve">Fonseca RRS, Carvalho CA, Rodrigues TMS, Cavaleiro RMS, Menezes SAF, Machado LFA. </w:t>
      </w:r>
      <w:r w:rsidRPr="00CC3314">
        <w:rPr>
          <w:i/>
          <w:iCs/>
          <w:sz w:val="18"/>
          <w:szCs w:val="18"/>
          <w:lang w:val="en-US"/>
        </w:rPr>
        <w:t xml:space="preserve">Severe Necrotizing Periodontitis in an HIV-Infected Patient: Case Report and Non-Surgical Treatment. </w:t>
      </w:r>
      <w:r w:rsidRPr="00CC3314">
        <w:rPr>
          <w:sz w:val="18"/>
          <w:szCs w:val="18"/>
          <w:lang w:val="en-US"/>
        </w:rPr>
        <w:t xml:space="preserve">Clin Adv Periodontics. </w:t>
      </w:r>
      <w:r w:rsidRPr="00CC3314">
        <w:rPr>
          <w:b/>
          <w:bCs/>
          <w:sz w:val="18"/>
          <w:szCs w:val="18"/>
          <w:lang w:val="en-US"/>
        </w:rPr>
        <w:t>2021</w:t>
      </w:r>
      <w:r w:rsidRPr="00CC3314">
        <w:rPr>
          <w:sz w:val="18"/>
          <w:szCs w:val="18"/>
          <w:lang w:val="en-US"/>
        </w:rPr>
        <w:t xml:space="preserve"> Jun;11(2):59-63. doi: 10.1002/cap.10105. Epub 2020 May 9. PMID: 32277739.</w:t>
      </w:r>
    </w:p>
    <w:p w14:paraId="5D359421" w14:textId="77777777" w:rsidR="00BD33D9" w:rsidRPr="00CC3314" w:rsidRDefault="00BD33D9" w:rsidP="00CC3314">
      <w:pPr>
        <w:pStyle w:val="Testonotadichiusura"/>
        <w:jc w:val="both"/>
        <w:rPr>
          <w:lang w:val="en-US"/>
        </w:rPr>
      </w:pPr>
    </w:p>
  </w:endnote>
  <w:endnote w:id="67">
    <w:p w14:paraId="6FFAD7B0" w14:textId="7AE92D91" w:rsidR="004D1612" w:rsidRPr="0072132A" w:rsidRDefault="004D1612"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Yang X, Zhang S, Ning T, Wu J. </w:t>
      </w:r>
      <w:r w:rsidRPr="0072132A">
        <w:rPr>
          <w:i/>
          <w:iCs/>
          <w:sz w:val="18"/>
          <w:szCs w:val="18"/>
          <w:lang w:val="en-US"/>
        </w:rPr>
        <w:t>Fusobacterium nucleatum</w:t>
      </w:r>
      <w:r w:rsidRPr="0072132A">
        <w:rPr>
          <w:sz w:val="18"/>
          <w:szCs w:val="18"/>
          <w:lang w:val="en-US"/>
        </w:rPr>
        <w:t> in Health and Disease. MedComm (2020).</w:t>
      </w:r>
      <w:r w:rsidRPr="0072132A">
        <w:rPr>
          <w:b/>
          <w:bCs/>
          <w:sz w:val="18"/>
          <w:szCs w:val="18"/>
          <w:lang w:val="en-US"/>
        </w:rPr>
        <w:t xml:space="preserve"> 2025</w:t>
      </w:r>
      <w:r w:rsidRPr="0072132A">
        <w:rPr>
          <w:sz w:val="18"/>
          <w:szCs w:val="18"/>
          <w:lang w:val="en-US"/>
        </w:rPr>
        <w:t xml:space="preserve"> Nov 9;6(11):e70465. doi: 10.1002/mco2.70465. PMID: 41216129; PMCID: PMC12596987</w:t>
      </w:r>
      <w:r w:rsidRPr="0072132A">
        <w:rPr>
          <w:lang w:val="en-US"/>
        </w:rPr>
        <w:t>.</w:t>
      </w:r>
    </w:p>
    <w:p w14:paraId="5B7D0F25" w14:textId="77777777" w:rsidR="004D1612" w:rsidRPr="0072132A" w:rsidRDefault="004D1612" w:rsidP="0072132A">
      <w:pPr>
        <w:pStyle w:val="Testonotadichiusura"/>
        <w:jc w:val="both"/>
        <w:rPr>
          <w:lang w:val="en-US"/>
        </w:rPr>
      </w:pPr>
    </w:p>
  </w:endnote>
  <w:endnote w:id="68">
    <w:p w14:paraId="009C16DD" w14:textId="7740D19F" w:rsidR="00E71269" w:rsidRPr="0072132A" w:rsidRDefault="00E71269" w:rsidP="00D27719">
      <w:pPr>
        <w:pStyle w:val="Testonotadichiusura"/>
        <w:jc w:val="both"/>
        <w:rPr>
          <w:sz w:val="18"/>
          <w:szCs w:val="18"/>
          <w:lang w:val="en-US"/>
        </w:rPr>
      </w:pPr>
      <w:r w:rsidRPr="0072132A">
        <w:rPr>
          <w:rStyle w:val="Rimandonotadichiusura"/>
        </w:rPr>
        <w:endnoteRef/>
      </w:r>
      <w:r w:rsidRPr="0072132A">
        <w:rPr>
          <w:sz w:val="18"/>
          <w:szCs w:val="18"/>
          <w:lang w:val="en-US"/>
        </w:rPr>
        <w:t>Kapatral</w:t>
      </w:r>
      <w:r w:rsidR="00D27719">
        <w:rPr>
          <w:sz w:val="18"/>
          <w:szCs w:val="18"/>
          <w:lang w:val="en-US"/>
        </w:rPr>
        <w:t xml:space="preserve"> </w:t>
      </w:r>
      <w:r w:rsidRPr="0072132A">
        <w:rPr>
          <w:sz w:val="18"/>
          <w:szCs w:val="18"/>
          <w:lang w:val="en-US"/>
        </w:rPr>
        <w:t>V</w:t>
      </w:r>
      <w:r w:rsidR="00D27719" w:rsidRPr="0072132A">
        <w:rPr>
          <w:sz w:val="18"/>
          <w:szCs w:val="18"/>
          <w:lang w:val="en-US"/>
        </w:rPr>
        <w:t>a</w:t>
      </w:r>
      <w:r w:rsidRPr="0072132A">
        <w:rPr>
          <w:sz w:val="18"/>
          <w:szCs w:val="18"/>
          <w:lang w:val="en-US"/>
        </w:rPr>
        <w:t>nderson</w:t>
      </w:r>
      <w:r w:rsidR="00D27719">
        <w:rPr>
          <w:sz w:val="18"/>
          <w:szCs w:val="18"/>
          <w:lang w:val="en-US"/>
        </w:rPr>
        <w:t xml:space="preserve"> </w:t>
      </w:r>
      <w:r w:rsidRPr="0072132A">
        <w:rPr>
          <w:sz w:val="18"/>
          <w:szCs w:val="18"/>
          <w:lang w:val="en-US"/>
        </w:rPr>
        <w:t>I,</w:t>
      </w:r>
      <w:r w:rsidR="00D27719">
        <w:rPr>
          <w:sz w:val="18"/>
          <w:szCs w:val="18"/>
          <w:lang w:val="en-US"/>
        </w:rPr>
        <w:t xml:space="preserve"> </w:t>
      </w:r>
      <w:r w:rsidRPr="0072132A">
        <w:rPr>
          <w:sz w:val="18"/>
          <w:szCs w:val="18"/>
          <w:lang w:val="en-US"/>
        </w:rPr>
        <w:t>Ivanova</w:t>
      </w:r>
      <w:r w:rsidR="00D27719">
        <w:rPr>
          <w:sz w:val="18"/>
          <w:szCs w:val="18"/>
          <w:lang w:val="en-US"/>
        </w:rPr>
        <w:t xml:space="preserve"> </w:t>
      </w:r>
      <w:r w:rsidRPr="0072132A">
        <w:rPr>
          <w:sz w:val="18"/>
          <w:szCs w:val="18"/>
          <w:lang w:val="en-US"/>
        </w:rPr>
        <w:t>N,</w:t>
      </w:r>
      <w:r w:rsidR="00D27719">
        <w:rPr>
          <w:sz w:val="18"/>
          <w:szCs w:val="18"/>
          <w:lang w:val="en-US"/>
        </w:rPr>
        <w:t xml:space="preserve"> </w:t>
      </w:r>
      <w:r w:rsidRPr="0072132A">
        <w:rPr>
          <w:sz w:val="18"/>
          <w:szCs w:val="18"/>
          <w:lang w:val="en-US"/>
        </w:rPr>
        <w:t>Reznik</w:t>
      </w:r>
      <w:r w:rsidR="00D27719">
        <w:rPr>
          <w:sz w:val="18"/>
          <w:szCs w:val="18"/>
          <w:lang w:val="en-US"/>
        </w:rPr>
        <w:t xml:space="preserve"> </w:t>
      </w:r>
      <w:r w:rsidRPr="0072132A">
        <w:rPr>
          <w:sz w:val="18"/>
          <w:szCs w:val="18"/>
          <w:lang w:val="en-US"/>
        </w:rPr>
        <w:t>G,</w:t>
      </w:r>
      <w:r w:rsidR="00D27719">
        <w:rPr>
          <w:sz w:val="18"/>
          <w:szCs w:val="18"/>
          <w:lang w:val="en-US"/>
        </w:rPr>
        <w:t xml:space="preserve"> </w:t>
      </w:r>
      <w:r w:rsidRPr="0072132A">
        <w:rPr>
          <w:sz w:val="18"/>
          <w:szCs w:val="18"/>
          <w:lang w:val="en-US"/>
        </w:rPr>
        <w:t>Los</w:t>
      </w:r>
      <w:r w:rsidR="00D27719">
        <w:rPr>
          <w:sz w:val="18"/>
          <w:szCs w:val="18"/>
          <w:lang w:val="en-US"/>
        </w:rPr>
        <w:t xml:space="preserve"> </w:t>
      </w:r>
      <w:r w:rsidRPr="0072132A">
        <w:rPr>
          <w:sz w:val="18"/>
          <w:szCs w:val="18"/>
          <w:lang w:val="en-US"/>
        </w:rPr>
        <w:t>T,</w:t>
      </w:r>
      <w:r w:rsidR="00D27719">
        <w:rPr>
          <w:sz w:val="18"/>
          <w:szCs w:val="18"/>
          <w:lang w:val="en-US"/>
        </w:rPr>
        <w:t xml:space="preserve"> </w:t>
      </w:r>
      <w:r w:rsidRPr="0072132A">
        <w:rPr>
          <w:sz w:val="18"/>
          <w:szCs w:val="18"/>
          <w:lang w:val="en-US"/>
        </w:rPr>
        <w:t>Lykidis</w:t>
      </w:r>
      <w:r w:rsidR="00D27719">
        <w:rPr>
          <w:sz w:val="18"/>
          <w:szCs w:val="18"/>
          <w:lang w:val="en-US"/>
        </w:rPr>
        <w:t xml:space="preserve"> </w:t>
      </w:r>
      <w:r w:rsidRPr="0072132A">
        <w:rPr>
          <w:sz w:val="18"/>
          <w:szCs w:val="18"/>
          <w:lang w:val="en-US"/>
        </w:rPr>
        <w:t>A,</w:t>
      </w:r>
      <w:r w:rsidR="00D27719">
        <w:rPr>
          <w:sz w:val="18"/>
          <w:szCs w:val="18"/>
          <w:lang w:val="en-US"/>
        </w:rPr>
        <w:t xml:space="preserve"> </w:t>
      </w:r>
      <w:r w:rsidRPr="0072132A">
        <w:rPr>
          <w:sz w:val="18"/>
          <w:szCs w:val="18"/>
          <w:lang w:val="en-US"/>
        </w:rPr>
        <w:t>Bhattacharyya</w:t>
      </w:r>
      <w:r w:rsidR="00D27719">
        <w:rPr>
          <w:sz w:val="18"/>
          <w:szCs w:val="18"/>
          <w:lang w:val="en-US"/>
        </w:rPr>
        <w:t xml:space="preserve"> </w:t>
      </w:r>
      <w:r w:rsidRPr="0072132A">
        <w:rPr>
          <w:sz w:val="18"/>
          <w:szCs w:val="18"/>
          <w:lang w:val="en-US"/>
        </w:rPr>
        <w:t>A,</w:t>
      </w:r>
      <w:r w:rsidR="00D27719">
        <w:rPr>
          <w:sz w:val="18"/>
          <w:szCs w:val="18"/>
          <w:lang w:val="en-US"/>
        </w:rPr>
        <w:t xml:space="preserve"> </w:t>
      </w:r>
      <w:r w:rsidRPr="0072132A">
        <w:rPr>
          <w:sz w:val="18"/>
          <w:szCs w:val="18"/>
          <w:lang w:val="en-US"/>
        </w:rPr>
        <w:t>Bartman</w:t>
      </w:r>
      <w:r w:rsidR="00D27719">
        <w:rPr>
          <w:sz w:val="18"/>
          <w:szCs w:val="18"/>
          <w:lang w:val="en-US"/>
        </w:rPr>
        <w:t xml:space="preserve"> </w:t>
      </w:r>
      <w:r w:rsidRPr="0072132A">
        <w:rPr>
          <w:sz w:val="18"/>
          <w:szCs w:val="18"/>
          <w:lang w:val="en-US"/>
        </w:rPr>
        <w:t>A,</w:t>
      </w:r>
      <w:r w:rsidR="00D27719">
        <w:rPr>
          <w:sz w:val="18"/>
          <w:szCs w:val="18"/>
          <w:lang w:val="en-US"/>
        </w:rPr>
        <w:t xml:space="preserve"> </w:t>
      </w:r>
      <w:r w:rsidRPr="0072132A">
        <w:rPr>
          <w:sz w:val="18"/>
          <w:szCs w:val="18"/>
          <w:lang w:val="en-US"/>
        </w:rPr>
        <w:t>Gardner</w:t>
      </w:r>
      <w:r w:rsidR="00D27719">
        <w:rPr>
          <w:sz w:val="18"/>
          <w:szCs w:val="18"/>
          <w:lang w:val="en-US"/>
        </w:rPr>
        <w:t xml:space="preserve"> </w:t>
      </w:r>
      <w:r w:rsidRPr="0072132A">
        <w:rPr>
          <w:sz w:val="18"/>
          <w:szCs w:val="18"/>
          <w:lang w:val="en-US"/>
        </w:rPr>
        <w:t>W,</w:t>
      </w:r>
      <w:r w:rsidR="00D27719">
        <w:rPr>
          <w:sz w:val="18"/>
          <w:szCs w:val="18"/>
          <w:lang w:val="en-US"/>
        </w:rPr>
        <w:t xml:space="preserve"> </w:t>
      </w:r>
      <w:r w:rsidRPr="0072132A">
        <w:rPr>
          <w:sz w:val="18"/>
          <w:szCs w:val="18"/>
          <w:lang w:val="en-US"/>
        </w:rPr>
        <w:t>Grechkin</w:t>
      </w:r>
      <w:r w:rsidR="00D27719">
        <w:rPr>
          <w:sz w:val="18"/>
          <w:szCs w:val="18"/>
          <w:lang w:val="en-US"/>
        </w:rPr>
        <w:t xml:space="preserve"> </w:t>
      </w:r>
      <w:r w:rsidRPr="0072132A">
        <w:rPr>
          <w:sz w:val="18"/>
          <w:szCs w:val="18"/>
          <w:lang w:val="en-US"/>
        </w:rPr>
        <w:t>G,</w:t>
      </w:r>
      <w:r w:rsidR="00D27719">
        <w:rPr>
          <w:sz w:val="18"/>
          <w:szCs w:val="18"/>
          <w:lang w:val="en-US"/>
        </w:rPr>
        <w:t xml:space="preserve"> </w:t>
      </w:r>
      <w:r w:rsidRPr="0072132A">
        <w:rPr>
          <w:sz w:val="18"/>
          <w:szCs w:val="18"/>
          <w:lang w:val="en-US"/>
        </w:rPr>
        <w:t>Zhu</w:t>
      </w:r>
      <w:r w:rsidR="00D27719">
        <w:rPr>
          <w:sz w:val="18"/>
          <w:szCs w:val="18"/>
          <w:lang w:val="en-US"/>
        </w:rPr>
        <w:t xml:space="preserve"> </w:t>
      </w:r>
      <w:r w:rsidRPr="0072132A">
        <w:rPr>
          <w:sz w:val="18"/>
          <w:szCs w:val="18"/>
          <w:lang w:val="en-US"/>
        </w:rPr>
        <w:t>L,</w:t>
      </w:r>
      <w:r w:rsidR="00D27719">
        <w:rPr>
          <w:sz w:val="18"/>
          <w:szCs w:val="18"/>
          <w:lang w:val="en-US"/>
        </w:rPr>
        <w:t xml:space="preserve"> </w:t>
      </w:r>
      <w:r w:rsidRPr="0072132A">
        <w:rPr>
          <w:sz w:val="18"/>
          <w:szCs w:val="18"/>
          <w:lang w:val="en-US"/>
        </w:rPr>
        <w:t>Vasieva</w:t>
      </w:r>
      <w:r w:rsidR="00D27719">
        <w:rPr>
          <w:sz w:val="18"/>
          <w:szCs w:val="18"/>
          <w:lang w:val="en-US"/>
        </w:rPr>
        <w:t xml:space="preserve"> </w:t>
      </w:r>
      <w:r w:rsidRPr="0072132A">
        <w:rPr>
          <w:sz w:val="18"/>
          <w:szCs w:val="18"/>
          <w:lang w:val="en-US"/>
        </w:rPr>
        <w:t>O,</w:t>
      </w:r>
      <w:r w:rsidR="00D27719">
        <w:rPr>
          <w:sz w:val="18"/>
          <w:szCs w:val="18"/>
          <w:lang w:val="en-US"/>
        </w:rPr>
        <w:t xml:space="preserve"> </w:t>
      </w:r>
      <w:r w:rsidRPr="0072132A">
        <w:rPr>
          <w:sz w:val="18"/>
          <w:szCs w:val="18"/>
          <w:lang w:val="en-US"/>
        </w:rPr>
        <w:t>Chu</w:t>
      </w:r>
      <w:r w:rsidR="00D27719">
        <w:rPr>
          <w:sz w:val="18"/>
          <w:szCs w:val="18"/>
          <w:lang w:val="en-US"/>
        </w:rPr>
        <w:t xml:space="preserve"> </w:t>
      </w:r>
      <w:r w:rsidRPr="0072132A">
        <w:rPr>
          <w:sz w:val="18"/>
          <w:szCs w:val="18"/>
          <w:lang w:val="en-US"/>
        </w:rPr>
        <w:t>L,</w:t>
      </w:r>
      <w:r w:rsidR="00D27719">
        <w:rPr>
          <w:sz w:val="18"/>
          <w:szCs w:val="18"/>
          <w:lang w:val="en-US"/>
        </w:rPr>
        <w:t xml:space="preserve"> </w:t>
      </w:r>
      <w:r w:rsidRPr="0072132A">
        <w:rPr>
          <w:sz w:val="18"/>
          <w:szCs w:val="18"/>
          <w:lang w:val="en-US"/>
        </w:rPr>
        <w:t>Kogan</w:t>
      </w:r>
      <w:r w:rsidR="00D27719">
        <w:rPr>
          <w:sz w:val="18"/>
          <w:szCs w:val="18"/>
          <w:lang w:val="en-US"/>
        </w:rPr>
        <w:t xml:space="preserve"> </w:t>
      </w:r>
      <w:r w:rsidRPr="0072132A">
        <w:rPr>
          <w:sz w:val="18"/>
          <w:szCs w:val="18"/>
          <w:lang w:val="en-US"/>
        </w:rPr>
        <w:t>Y,</w:t>
      </w:r>
      <w:r w:rsidR="00D27719">
        <w:rPr>
          <w:sz w:val="18"/>
          <w:szCs w:val="18"/>
          <w:lang w:val="en-US"/>
        </w:rPr>
        <w:t xml:space="preserve"> </w:t>
      </w:r>
      <w:r w:rsidRPr="0072132A">
        <w:rPr>
          <w:sz w:val="18"/>
          <w:szCs w:val="18"/>
          <w:lang w:val="en-US"/>
        </w:rPr>
        <w:t>Chaga</w:t>
      </w:r>
      <w:r w:rsidR="00D27719">
        <w:rPr>
          <w:sz w:val="18"/>
          <w:szCs w:val="18"/>
          <w:lang w:val="en-US"/>
        </w:rPr>
        <w:t xml:space="preserve"> </w:t>
      </w:r>
      <w:r w:rsidRPr="0072132A">
        <w:rPr>
          <w:sz w:val="18"/>
          <w:szCs w:val="18"/>
          <w:lang w:val="en-US"/>
        </w:rPr>
        <w:t>O,</w:t>
      </w:r>
      <w:r w:rsidR="00D27719">
        <w:rPr>
          <w:sz w:val="18"/>
          <w:szCs w:val="18"/>
          <w:lang w:val="en-US"/>
        </w:rPr>
        <w:t xml:space="preserve"> </w:t>
      </w:r>
      <w:r w:rsidRPr="0072132A">
        <w:rPr>
          <w:sz w:val="18"/>
          <w:szCs w:val="18"/>
          <w:lang w:val="en-US"/>
        </w:rPr>
        <w:t>Goltsman</w:t>
      </w:r>
      <w:r w:rsidR="00D27719">
        <w:rPr>
          <w:sz w:val="18"/>
          <w:szCs w:val="18"/>
          <w:lang w:val="en-US"/>
        </w:rPr>
        <w:t xml:space="preserve"> </w:t>
      </w:r>
      <w:r w:rsidRPr="0072132A">
        <w:rPr>
          <w:sz w:val="18"/>
          <w:szCs w:val="18"/>
          <w:lang w:val="en-US"/>
        </w:rPr>
        <w:t>E,</w:t>
      </w:r>
      <w:r w:rsidR="00D27719">
        <w:rPr>
          <w:sz w:val="18"/>
          <w:szCs w:val="18"/>
          <w:lang w:val="en-US"/>
        </w:rPr>
        <w:t xml:space="preserve"> </w:t>
      </w:r>
      <w:r w:rsidRPr="0072132A">
        <w:rPr>
          <w:sz w:val="18"/>
          <w:szCs w:val="18"/>
          <w:lang w:val="en-US"/>
        </w:rPr>
        <w:t>Bernal</w:t>
      </w:r>
      <w:r w:rsidR="00D27719">
        <w:rPr>
          <w:sz w:val="18"/>
          <w:szCs w:val="18"/>
          <w:lang w:val="en-US"/>
        </w:rPr>
        <w:t xml:space="preserve"> </w:t>
      </w:r>
      <w:r w:rsidRPr="0072132A">
        <w:rPr>
          <w:sz w:val="18"/>
          <w:szCs w:val="18"/>
          <w:lang w:val="en-US"/>
        </w:rPr>
        <w:t>A,</w:t>
      </w:r>
      <w:r w:rsidR="00D27719">
        <w:rPr>
          <w:sz w:val="18"/>
          <w:szCs w:val="18"/>
          <w:lang w:val="en-US"/>
        </w:rPr>
        <w:t xml:space="preserve"> </w:t>
      </w:r>
      <w:r w:rsidRPr="0072132A">
        <w:rPr>
          <w:sz w:val="18"/>
          <w:szCs w:val="18"/>
          <w:lang w:val="en-US"/>
        </w:rPr>
        <w:t>Larsen</w:t>
      </w:r>
      <w:r w:rsidR="00D27719">
        <w:rPr>
          <w:sz w:val="18"/>
          <w:szCs w:val="18"/>
          <w:lang w:val="en-US"/>
        </w:rPr>
        <w:t xml:space="preserve"> </w:t>
      </w:r>
      <w:r w:rsidRPr="0072132A">
        <w:rPr>
          <w:sz w:val="18"/>
          <w:szCs w:val="18"/>
          <w:lang w:val="en-US"/>
        </w:rPr>
        <w:t>N,</w:t>
      </w:r>
      <w:r w:rsidR="00D27719">
        <w:rPr>
          <w:sz w:val="18"/>
          <w:szCs w:val="18"/>
          <w:lang w:val="en-US"/>
        </w:rPr>
        <w:t xml:space="preserve"> </w:t>
      </w:r>
      <w:r w:rsidRPr="0072132A">
        <w:rPr>
          <w:sz w:val="18"/>
          <w:szCs w:val="18"/>
          <w:lang w:val="en-US"/>
        </w:rPr>
        <w:t>D</w:t>
      </w:r>
      <w:r w:rsidR="00D27719">
        <w:rPr>
          <w:sz w:val="18"/>
          <w:szCs w:val="18"/>
          <w:lang w:val="en-US"/>
        </w:rPr>
        <w:t>’</w:t>
      </w:r>
      <w:r w:rsidRPr="0072132A">
        <w:rPr>
          <w:sz w:val="18"/>
          <w:szCs w:val="18"/>
          <w:lang w:val="en-US"/>
        </w:rPr>
        <w:t>Souza</w:t>
      </w:r>
      <w:r w:rsidR="00D27719">
        <w:rPr>
          <w:sz w:val="18"/>
          <w:szCs w:val="18"/>
          <w:lang w:val="en-US"/>
        </w:rPr>
        <w:t xml:space="preserve"> </w:t>
      </w:r>
      <w:r w:rsidRPr="0072132A">
        <w:rPr>
          <w:sz w:val="18"/>
          <w:szCs w:val="18"/>
          <w:lang w:val="en-US"/>
        </w:rPr>
        <w:t>M,</w:t>
      </w:r>
      <w:r w:rsidR="00D27719">
        <w:rPr>
          <w:sz w:val="18"/>
          <w:szCs w:val="18"/>
          <w:lang w:val="en-US"/>
        </w:rPr>
        <w:t xml:space="preserve"> </w:t>
      </w:r>
      <w:r w:rsidRPr="0072132A">
        <w:rPr>
          <w:sz w:val="18"/>
          <w:szCs w:val="18"/>
          <w:lang w:val="en-US"/>
        </w:rPr>
        <w:t>Walunas</w:t>
      </w:r>
      <w:r w:rsidR="00D27719">
        <w:rPr>
          <w:sz w:val="18"/>
          <w:szCs w:val="18"/>
          <w:lang w:val="en-US"/>
        </w:rPr>
        <w:t xml:space="preserve"> </w:t>
      </w:r>
      <w:r w:rsidRPr="0072132A">
        <w:rPr>
          <w:sz w:val="18"/>
          <w:szCs w:val="18"/>
          <w:lang w:val="en-US"/>
        </w:rPr>
        <w:t>T,</w:t>
      </w:r>
      <w:r w:rsidR="00D27719">
        <w:rPr>
          <w:sz w:val="18"/>
          <w:szCs w:val="18"/>
          <w:lang w:val="en-US"/>
        </w:rPr>
        <w:t xml:space="preserve"> </w:t>
      </w:r>
      <w:r w:rsidRPr="0072132A">
        <w:rPr>
          <w:sz w:val="18"/>
          <w:szCs w:val="18"/>
          <w:lang w:val="en-US"/>
        </w:rPr>
        <w:t>PuschG,</w:t>
      </w:r>
      <w:r w:rsidR="00D27719">
        <w:rPr>
          <w:sz w:val="18"/>
          <w:szCs w:val="18"/>
          <w:lang w:val="en-US"/>
        </w:rPr>
        <w:t xml:space="preserve"> </w:t>
      </w:r>
      <w:r w:rsidRPr="0072132A">
        <w:rPr>
          <w:sz w:val="18"/>
          <w:szCs w:val="18"/>
          <w:lang w:val="en-US"/>
        </w:rPr>
        <w:t>Haselkorn</w:t>
      </w:r>
      <w:r w:rsidR="00D27719">
        <w:rPr>
          <w:sz w:val="18"/>
          <w:szCs w:val="18"/>
          <w:lang w:val="en-US"/>
        </w:rPr>
        <w:t xml:space="preserve"> </w:t>
      </w:r>
      <w:r w:rsidRPr="0072132A">
        <w:rPr>
          <w:sz w:val="18"/>
          <w:szCs w:val="18"/>
          <w:lang w:val="en-US"/>
        </w:rPr>
        <w:t>R,</w:t>
      </w:r>
      <w:r w:rsidR="00D27719">
        <w:rPr>
          <w:sz w:val="18"/>
          <w:szCs w:val="18"/>
          <w:lang w:val="en-US"/>
        </w:rPr>
        <w:t xml:space="preserve"> </w:t>
      </w:r>
      <w:r w:rsidRPr="0072132A">
        <w:rPr>
          <w:sz w:val="18"/>
          <w:szCs w:val="18"/>
          <w:lang w:val="en-US"/>
        </w:rPr>
        <w:t>Fonstein</w:t>
      </w:r>
      <w:r w:rsidR="00D27719">
        <w:rPr>
          <w:sz w:val="18"/>
          <w:szCs w:val="18"/>
          <w:lang w:val="en-US"/>
        </w:rPr>
        <w:t xml:space="preserve"> </w:t>
      </w:r>
      <w:r w:rsidRPr="0072132A">
        <w:rPr>
          <w:sz w:val="18"/>
          <w:szCs w:val="18"/>
          <w:lang w:val="en-US"/>
        </w:rPr>
        <w:t>M,</w:t>
      </w:r>
      <w:r w:rsidR="00D27719">
        <w:rPr>
          <w:sz w:val="18"/>
          <w:szCs w:val="18"/>
          <w:lang w:val="en-US"/>
        </w:rPr>
        <w:t xml:space="preserve"> </w:t>
      </w:r>
      <w:r w:rsidRPr="0072132A">
        <w:rPr>
          <w:sz w:val="18"/>
          <w:szCs w:val="18"/>
          <w:lang w:val="en-US"/>
        </w:rPr>
        <w:t>Kyrpides</w:t>
      </w:r>
      <w:r w:rsidR="00D27719">
        <w:rPr>
          <w:sz w:val="18"/>
          <w:szCs w:val="18"/>
          <w:lang w:val="en-US"/>
        </w:rPr>
        <w:t xml:space="preserve"> </w:t>
      </w:r>
      <w:r w:rsidRPr="0072132A">
        <w:rPr>
          <w:sz w:val="18"/>
          <w:szCs w:val="18"/>
          <w:lang w:val="en-US"/>
        </w:rPr>
        <w:t>N,</w:t>
      </w:r>
      <w:r w:rsidR="00D27719">
        <w:rPr>
          <w:sz w:val="18"/>
          <w:szCs w:val="18"/>
          <w:lang w:val="en-US"/>
        </w:rPr>
        <w:t xml:space="preserve"> </w:t>
      </w:r>
      <w:r w:rsidRPr="0072132A">
        <w:rPr>
          <w:sz w:val="18"/>
          <w:szCs w:val="18"/>
          <w:lang w:val="en-US"/>
        </w:rPr>
        <w:t>Overbeek</w:t>
      </w:r>
      <w:r w:rsidR="00D27719">
        <w:rPr>
          <w:sz w:val="18"/>
          <w:szCs w:val="18"/>
          <w:lang w:val="en-US"/>
        </w:rPr>
        <w:t xml:space="preserve"> </w:t>
      </w:r>
      <w:r w:rsidRPr="0072132A">
        <w:rPr>
          <w:sz w:val="18"/>
          <w:szCs w:val="18"/>
          <w:lang w:val="en-US"/>
        </w:rPr>
        <w:t>R.</w:t>
      </w:r>
      <w:r w:rsidR="00D27719">
        <w:rPr>
          <w:sz w:val="18"/>
          <w:szCs w:val="18"/>
          <w:lang w:val="en-US"/>
        </w:rPr>
        <w:t xml:space="preserve"> </w:t>
      </w:r>
      <w:r w:rsidRPr="0072132A">
        <w:rPr>
          <w:b/>
          <w:bCs/>
          <w:sz w:val="18"/>
          <w:szCs w:val="18"/>
          <w:lang w:val="en-US"/>
        </w:rPr>
        <w:t>2002.</w:t>
      </w:r>
      <w:r w:rsidR="00D27719">
        <w:rPr>
          <w:sz w:val="18"/>
          <w:szCs w:val="18"/>
          <w:lang w:val="en-US"/>
        </w:rPr>
        <w:t xml:space="preserve"> </w:t>
      </w:r>
      <w:r w:rsidRPr="0072132A">
        <w:rPr>
          <w:i/>
          <w:iCs/>
          <w:sz w:val="18"/>
          <w:szCs w:val="18"/>
          <w:lang w:val="en-US"/>
        </w:rPr>
        <w:t>Genome Sequence and Analysis of the Oral Bacterium Fusobacterium nucleatum Strain ATCC 25586</w:t>
      </w:r>
      <w:r w:rsidRPr="0072132A">
        <w:rPr>
          <w:sz w:val="18"/>
          <w:szCs w:val="18"/>
          <w:lang w:val="en-US"/>
        </w:rPr>
        <w:t>. J Bacteriol</w:t>
      </w:r>
      <w:r w:rsidR="00D27719">
        <w:rPr>
          <w:sz w:val="18"/>
          <w:szCs w:val="18"/>
          <w:lang w:val="en-US"/>
        </w:rPr>
        <w:t xml:space="preserve"> </w:t>
      </w:r>
      <w:r w:rsidRPr="0072132A">
        <w:rPr>
          <w:sz w:val="18"/>
          <w:szCs w:val="18"/>
          <w:lang w:val="en-US"/>
        </w:rPr>
        <w:t>184:.</w:t>
      </w:r>
      <w:r w:rsidR="003B4BCF" w:rsidRPr="0072132A">
        <w:rPr>
          <w:sz w:val="18"/>
          <w:szCs w:val="18"/>
          <w:lang w:val="en-US"/>
        </w:rPr>
        <w:t xml:space="preserve"> </w:t>
      </w:r>
      <w:r w:rsidR="003B4BCF">
        <w:fldChar w:fldCharType="begin"/>
      </w:r>
      <w:r w:rsidR="003B4BCF" w:rsidRPr="009F2082">
        <w:rPr>
          <w:lang w:val="en-US"/>
        </w:rPr>
        <w:instrText>HYPERLINK "https://doi.org/10.1128/jb.184.7.2005-2018.2002"</w:instrText>
      </w:r>
      <w:r w:rsidR="003B4BCF">
        <w:fldChar w:fldCharType="separate"/>
      </w:r>
      <w:r w:rsidR="003B4BCF" w:rsidRPr="0072132A">
        <w:rPr>
          <w:rStyle w:val="Collegamentoipertestuale"/>
          <w:sz w:val="18"/>
          <w:szCs w:val="18"/>
          <w:lang w:val="en-US"/>
        </w:rPr>
        <w:t>https://doi.org/10.1128/jb.184.7.2005-2018.2002</w:t>
      </w:r>
      <w:r w:rsidR="003B4BCF">
        <w:rPr>
          <w:rStyle w:val="Collegamentoipertestuale"/>
          <w:sz w:val="18"/>
          <w:szCs w:val="18"/>
          <w:lang w:val="en-US"/>
        </w:rPr>
        <w:fldChar w:fldCharType="end"/>
      </w:r>
    </w:p>
    <w:p w14:paraId="59FE1D3C" w14:textId="7F25BA07" w:rsidR="00E71269" w:rsidRPr="0072132A" w:rsidRDefault="00E71269" w:rsidP="0072132A">
      <w:pPr>
        <w:pStyle w:val="Testonotadichiusura"/>
        <w:jc w:val="both"/>
        <w:rPr>
          <w:lang w:val="en-US"/>
        </w:rPr>
      </w:pPr>
    </w:p>
  </w:endnote>
  <w:endnote w:id="69">
    <w:p w14:paraId="0C160D49" w14:textId="554CA690" w:rsidR="00E71269" w:rsidRPr="0072132A" w:rsidRDefault="00E71269"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Groeger S, Zhou Y, Ruf S, Meyle J. </w:t>
      </w:r>
      <w:r w:rsidRPr="0072132A">
        <w:rPr>
          <w:i/>
          <w:iCs/>
          <w:sz w:val="18"/>
          <w:szCs w:val="18"/>
          <w:lang w:val="en-US"/>
        </w:rPr>
        <w:t>Pathogenic Mechanisms of</w:t>
      </w:r>
      <w:r w:rsidR="00D27719">
        <w:rPr>
          <w:i/>
          <w:iCs/>
          <w:sz w:val="18"/>
          <w:szCs w:val="18"/>
          <w:lang w:val="en-US"/>
        </w:rPr>
        <w:t xml:space="preserve"> </w:t>
      </w:r>
      <w:r w:rsidRPr="0072132A">
        <w:rPr>
          <w:i/>
          <w:iCs/>
          <w:sz w:val="18"/>
          <w:szCs w:val="18"/>
          <w:lang w:val="en-US"/>
        </w:rPr>
        <w:t>Fusobacterium nucleatum on Oral Epithelial Cells. Front Oral Health.</w:t>
      </w:r>
      <w:r w:rsidRPr="0072132A">
        <w:rPr>
          <w:sz w:val="18"/>
          <w:szCs w:val="18"/>
          <w:lang w:val="en-US"/>
        </w:rPr>
        <w:t xml:space="preserve"> </w:t>
      </w:r>
      <w:r w:rsidRPr="0072132A">
        <w:rPr>
          <w:b/>
          <w:bCs/>
          <w:sz w:val="18"/>
          <w:szCs w:val="18"/>
          <w:lang w:val="en-US"/>
        </w:rPr>
        <w:t xml:space="preserve">2022 </w:t>
      </w:r>
      <w:r w:rsidRPr="0072132A">
        <w:rPr>
          <w:sz w:val="18"/>
          <w:szCs w:val="18"/>
          <w:lang w:val="en-US"/>
        </w:rPr>
        <w:t>Apr 5;3:831607. doi: 10.3389/froh.2022.831607. PMID: 35478496; PMCID: PMC9037381.</w:t>
      </w:r>
    </w:p>
    <w:p w14:paraId="270BDEC4" w14:textId="77777777" w:rsidR="00E71269" w:rsidRPr="0072132A" w:rsidRDefault="00E71269" w:rsidP="0072132A">
      <w:pPr>
        <w:pStyle w:val="Testonotadichiusura"/>
        <w:jc w:val="both"/>
        <w:rPr>
          <w:lang w:val="en-US"/>
        </w:rPr>
      </w:pPr>
    </w:p>
  </w:endnote>
  <w:endnote w:id="70">
    <w:p w14:paraId="4478EA90" w14:textId="58358B00" w:rsidR="00E71269" w:rsidRPr="0072132A" w:rsidRDefault="00E71269"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Nayak S, Shetty ND, Kamath DG. </w:t>
      </w:r>
      <w:r w:rsidRPr="0072132A">
        <w:rPr>
          <w:i/>
          <w:iCs/>
          <w:sz w:val="18"/>
          <w:szCs w:val="18"/>
          <w:lang w:val="en-US"/>
        </w:rPr>
        <w:t>Commensalism of Fusobacterium nucleatum</w:t>
      </w:r>
      <w:r w:rsidR="00D27719">
        <w:rPr>
          <w:i/>
          <w:iCs/>
          <w:sz w:val="18"/>
          <w:szCs w:val="18"/>
          <w:lang w:val="en-US"/>
        </w:rPr>
        <w:t xml:space="preserve"> </w:t>
      </w:r>
      <w:r w:rsidRPr="0072132A">
        <w:rPr>
          <w:i/>
          <w:iCs/>
          <w:sz w:val="18"/>
          <w:szCs w:val="18"/>
          <w:lang w:val="en-US"/>
        </w:rPr>
        <w:t xml:space="preserve">- The dilemma. </w:t>
      </w:r>
      <w:r w:rsidRPr="0072132A">
        <w:rPr>
          <w:sz w:val="18"/>
          <w:szCs w:val="18"/>
          <w:lang w:val="en-US"/>
        </w:rPr>
        <w:t xml:space="preserve">J Indian Soc Periodontol. 2024 Jul-Aug;28(4):427-430. doi: 10.4103/jisp.jisp_286_23. Epub </w:t>
      </w:r>
      <w:r w:rsidRPr="0072132A">
        <w:rPr>
          <w:b/>
          <w:bCs/>
          <w:sz w:val="18"/>
          <w:szCs w:val="18"/>
          <w:lang w:val="en-US"/>
        </w:rPr>
        <w:t>2025</w:t>
      </w:r>
      <w:r w:rsidRPr="0072132A">
        <w:rPr>
          <w:sz w:val="18"/>
          <w:szCs w:val="18"/>
          <w:lang w:val="en-US"/>
        </w:rPr>
        <w:t xml:space="preserve"> Jan 6. PMID: 40018722; PMCID: PMC11864332.</w:t>
      </w:r>
    </w:p>
    <w:p w14:paraId="3535CE42" w14:textId="77777777" w:rsidR="00E71269" w:rsidRPr="0072132A" w:rsidRDefault="00E71269" w:rsidP="0072132A">
      <w:pPr>
        <w:pStyle w:val="Testonotadichiusura"/>
        <w:jc w:val="both"/>
        <w:rPr>
          <w:lang w:val="en-US"/>
        </w:rPr>
      </w:pPr>
    </w:p>
  </w:endnote>
  <w:endnote w:id="71">
    <w:p w14:paraId="2A51C2CB" w14:textId="48CB4C76" w:rsidR="00A37DAC" w:rsidRPr="0072132A" w:rsidRDefault="00A37DAC"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Kim HS, Lee DS, Chang YH, Kim MJ, Koh S, Kim J, Seong JH, Song SK, Shin HS, Son JB, Jung MY, Park SN, Yoo SY, Cho KW, Kim DK, Moon S, Kim D, Choi Y, Kim BO, Jang HS, Kim CS, Kim C, Choe SJ, Kook JK. </w:t>
      </w:r>
      <w:r w:rsidRPr="0072132A">
        <w:rPr>
          <w:i/>
          <w:iCs/>
          <w:sz w:val="18"/>
          <w:szCs w:val="18"/>
          <w:lang w:val="en-US"/>
        </w:rPr>
        <w:t>Application of rpoB and zinc protease gene for use in molecular discrimination of Fusobacterium nucleatum subspecies. J Clin Microbiol</w:t>
      </w:r>
      <w:r w:rsidRPr="0072132A">
        <w:rPr>
          <w:sz w:val="18"/>
          <w:szCs w:val="18"/>
          <w:lang w:val="en-US"/>
        </w:rPr>
        <w:t xml:space="preserve">. </w:t>
      </w:r>
      <w:r w:rsidRPr="0072132A">
        <w:rPr>
          <w:b/>
          <w:bCs/>
          <w:sz w:val="18"/>
          <w:szCs w:val="18"/>
          <w:lang w:val="en-US"/>
        </w:rPr>
        <w:t xml:space="preserve">2010 </w:t>
      </w:r>
      <w:r w:rsidRPr="0072132A">
        <w:rPr>
          <w:sz w:val="18"/>
          <w:szCs w:val="18"/>
          <w:lang w:val="en-US"/>
        </w:rPr>
        <w:t>Feb;48(2):545-53. doi: 10.1128/JCM.01631-09. Epub 2009 Dec 2. PMID: 19955278; PMCID: PMC2815611.</w:t>
      </w:r>
    </w:p>
    <w:p w14:paraId="12B6AB34" w14:textId="77777777" w:rsidR="00A37DAC" w:rsidRPr="0072132A" w:rsidRDefault="00A37DAC" w:rsidP="0072132A">
      <w:pPr>
        <w:pStyle w:val="Testonotadichiusura"/>
        <w:jc w:val="both"/>
        <w:rPr>
          <w:lang w:val="en-US"/>
        </w:rPr>
      </w:pPr>
    </w:p>
  </w:endnote>
  <w:endnote w:id="72">
    <w:p w14:paraId="4C9885BB" w14:textId="506C551D" w:rsidR="003B4BCF" w:rsidRPr="0072132A" w:rsidRDefault="003B4BCF"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Kook JK, Park SN, Lim YK, Cho E, Jo E, Roh H, Shin Y, Paek J, Kim HS, Kim H, Shin JH, Chang YH. </w:t>
      </w:r>
      <w:r w:rsidRPr="0072132A">
        <w:rPr>
          <w:i/>
          <w:iCs/>
          <w:sz w:val="18"/>
          <w:szCs w:val="18"/>
          <w:lang w:val="en-US"/>
        </w:rPr>
        <w:t>Genome-Based Reclassification of Fusobacterium nucleatum Subspecies at the Species Level. Curr Microbiol</w:t>
      </w:r>
      <w:r w:rsidRPr="0072132A">
        <w:rPr>
          <w:sz w:val="18"/>
          <w:szCs w:val="18"/>
          <w:lang w:val="en-US"/>
        </w:rPr>
        <w:t xml:space="preserve">. </w:t>
      </w:r>
      <w:r w:rsidRPr="0072132A">
        <w:rPr>
          <w:b/>
          <w:bCs/>
          <w:sz w:val="18"/>
          <w:szCs w:val="18"/>
          <w:lang w:val="en-US"/>
        </w:rPr>
        <w:t xml:space="preserve">2017 </w:t>
      </w:r>
      <w:r w:rsidRPr="0072132A">
        <w:rPr>
          <w:sz w:val="18"/>
          <w:szCs w:val="18"/>
          <w:lang w:val="en-US"/>
        </w:rPr>
        <w:t xml:space="preserve">Oct;74(10):1137-1147. doi: 10.1007/s00284-017-1296-9. Epub 2017 Jul 7. Erratum in: Curr Microbiol. 2020 Nov;77(11):3807. doi: 10.1007/s00284-020-02133-w. Erratum in: Curr Microbiol. </w:t>
      </w:r>
      <w:r w:rsidRPr="0072132A">
        <w:rPr>
          <w:b/>
          <w:bCs/>
          <w:sz w:val="18"/>
          <w:szCs w:val="18"/>
          <w:lang w:val="en-US"/>
        </w:rPr>
        <w:t xml:space="preserve">2021 </w:t>
      </w:r>
      <w:r w:rsidRPr="0072132A">
        <w:rPr>
          <w:sz w:val="18"/>
          <w:szCs w:val="18"/>
          <w:lang w:val="en-US"/>
        </w:rPr>
        <w:t>Dec 1;79(1):2. doi: 10.1007/s00284-021-02680-w. PMID: 28687946.</w:t>
      </w:r>
    </w:p>
    <w:p w14:paraId="51CE0449" w14:textId="77777777" w:rsidR="003B4BCF" w:rsidRPr="0072132A" w:rsidRDefault="003B4BCF" w:rsidP="0072132A">
      <w:pPr>
        <w:pStyle w:val="Testonotadichiusura"/>
        <w:jc w:val="both"/>
        <w:rPr>
          <w:lang w:val="en-US"/>
        </w:rPr>
      </w:pPr>
    </w:p>
  </w:endnote>
  <w:endnote w:id="73">
    <w:p w14:paraId="739C0D4D" w14:textId="1E14D9BE" w:rsidR="003B4BCF" w:rsidRPr="0072132A" w:rsidRDefault="003B4BCF"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Wolf M, Steinberg T, Scholz KJ, Kruse A, Rezasoltani S, Conrads G, Al-Ahmad A, Cieplik F. </w:t>
      </w:r>
      <w:r w:rsidRPr="0072132A">
        <w:rPr>
          <w:i/>
          <w:iCs/>
          <w:sz w:val="18"/>
          <w:szCs w:val="18"/>
          <w:lang w:val="en-US"/>
        </w:rPr>
        <w:t>The rise and evolving role of Fusobacterium nucleatum subspecies.</w:t>
      </w:r>
      <w:r w:rsidRPr="0072132A">
        <w:rPr>
          <w:sz w:val="18"/>
          <w:szCs w:val="18"/>
          <w:lang w:val="en-US"/>
        </w:rPr>
        <w:t xml:space="preserve"> Curr Res Microb Sci. </w:t>
      </w:r>
      <w:r w:rsidRPr="0072132A">
        <w:rPr>
          <w:b/>
          <w:bCs/>
          <w:sz w:val="18"/>
          <w:szCs w:val="18"/>
          <w:lang w:val="en-US"/>
        </w:rPr>
        <w:t>2025</w:t>
      </w:r>
      <w:r w:rsidRPr="0072132A">
        <w:rPr>
          <w:sz w:val="18"/>
          <w:szCs w:val="18"/>
          <w:lang w:val="en-US"/>
        </w:rPr>
        <w:t xml:space="preserve"> Jun 6;9:100414. doi: 10.1016/j.crmicr.2025.100414. PMID: 40547902; PMCID: PMC12178932.</w:t>
      </w:r>
    </w:p>
    <w:p w14:paraId="16415060" w14:textId="77777777" w:rsidR="003B4BCF" w:rsidRPr="0072132A" w:rsidRDefault="003B4BCF" w:rsidP="0072132A">
      <w:pPr>
        <w:pStyle w:val="Testonotadichiusura"/>
        <w:jc w:val="both"/>
        <w:rPr>
          <w:lang w:val="en-US"/>
        </w:rPr>
      </w:pPr>
    </w:p>
  </w:endnote>
  <w:endnote w:id="74">
    <w:p w14:paraId="054F9E01" w14:textId="5DC34C74" w:rsidR="003B4BCF" w:rsidRPr="0072132A" w:rsidRDefault="003B4BCF" w:rsidP="0072132A">
      <w:pPr>
        <w:pStyle w:val="Testonotadichiusura"/>
        <w:jc w:val="both"/>
        <w:rPr>
          <w:color w:val="000000" w:themeColor="text1"/>
          <w:sz w:val="18"/>
          <w:szCs w:val="18"/>
          <w:lang w:val="en-US"/>
        </w:rPr>
      </w:pPr>
      <w:r w:rsidRPr="0072132A">
        <w:rPr>
          <w:rStyle w:val="Rimandonotadichiusura"/>
        </w:rPr>
        <w:endnoteRef/>
      </w:r>
      <w:r w:rsidRPr="0072132A">
        <w:rPr>
          <w:color w:val="000000" w:themeColor="text1"/>
          <w:sz w:val="18"/>
          <w:szCs w:val="18"/>
          <w:lang w:val="en-US"/>
        </w:rPr>
        <w:t>Umaña</w:t>
      </w:r>
      <w:r w:rsidR="00871B1A">
        <w:rPr>
          <w:color w:val="000000" w:themeColor="text1"/>
          <w:sz w:val="18"/>
          <w:szCs w:val="18"/>
          <w:lang w:val="en-US"/>
        </w:rPr>
        <w:t xml:space="preserve"> </w:t>
      </w:r>
      <w:r w:rsidRPr="0072132A">
        <w:rPr>
          <w:color w:val="000000" w:themeColor="text1"/>
          <w:sz w:val="18"/>
          <w:szCs w:val="18"/>
          <w:lang w:val="en-US"/>
        </w:rPr>
        <w:t>A,Sanders</w:t>
      </w:r>
      <w:r w:rsidR="00871B1A">
        <w:rPr>
          <w:color w:val="000000" w:themeColor="text1"/>
          <w:sz w:val="18"/>
          <w:szCs w:val="18"/>
          <w:lang w:val="en-US"/>
        </w:rPr>
        <w:t xml:space="preserve"> </w:t>
      </w:r>
      <w:r w:rsidRPr="0072132A">
        <w:rPr>
          <w:color w:val="000000" w:themeColor="text1"/>
          <w:sz w:val="18"/>
          <w:szCs w:val="18"/>
          <w:lang w:val="en-US"/>
        </w:rPr>
        <w:t>BE,</w:t>
      </w:r>
      <w:r w:rsidR="00871B1A">
        <w:rPr>
          <w:color w:val="000000" w:themeColor="text1"/>
          <w:sz w:val="18"/>
          <w:szCs w:val="18"/>
          <w:lang w:val="en-US"/>
        </w:rPr>
        <w:t xml:space="preserve"> </w:t>
      </w:r>
      <w:r w:rsidRPr="0072132A">
        <w:rPr>
          <w:color w:val="000000" w:themeColor="text1"/>
          <w:sz w:val="18"/>
          <w:szCs w:val="18"/>
          <w:lang w:val="en-US"/>
        </w:rPr>
        <w:t>Yoo</w:t>
      </w:r>
      <w:r w:rsidR="00871B1A">
        <w:rPr>
          <w:color w:val="000000" w:themeColor="text1"/>
          <w:sz w:val="18"/>
          <w:szCs w:val="18"/>
          <w:lang w:val="en-US"/>
        </w:rPr>
        <w:t xml:space="preserve"> </w:t>
      </w:r>
      <w:r w:rsidRPr="0072132A">
        <w:rPr>
          <w:color w:val="000000" w:themeColor="text1"/>
          <w:sz w:val="18"/>
          <w:szCs w:val="18"/>
          <w:lang w:val="en-US"/>
        </w:rPr>
        <w:t>CC,</w:t>
      </w:r>
      <w:r w:rsidR="00871B1A">
        <w:rPr>
          <w:color w:val="000000" w:themeColor="text1"/>
          <w:sz w:val="18"/>
          <w:szCs w:val="18"/>
          <w:lang w:val="en-US"/>
        </w:rPr>
        <w:t xml:space="preserve"> </w:t>
      </w:r>
      <w:r w:rsidRPr="0072132A">
        <w:rPr>
          <w:color w:val="000000" w:themeColor="text1"/>
          <w:sz w:val="18"/>
          <w:szCs w:val="18"/>
          <w:lang w:val="en-US"/>
        </w:rPr>
        <w:t>Casasanta</w:t>
      </w:r>
      <w:r w:rsidR="00871B1A">
        <w:rPr>
          <w:color w:val="000000" w:themeColor="text1"/>
          <w:sz w:val="18"/>
          <w:szCs w:val="18"/>
          <w:lang w:val="en-US"/>
        </w:rPr>
        <w:t xml:space="preserve"> </w:t>
      </w:r>
      <w:r w:rsidRPr="0072132A">
        <w:rPr>
          <w:color w:val="000000" w:themeColor="text1"/>
          <w:sz w:val="18"/>
          <w:szCs w:val="18"/>
          <w:lang w:val="en-US"/>
        </w:rPr>
        <w:t>MA,</w:t>
      </w:r>
      <w:r w:rsidR="00871B1A">
        <w:rPr>
          <w:color w:val="000000" w:themeColor="text1"/>
          <w:sz w:val="18"/>
          <w:szCs w:val="18"/>
          <w:lang w:val="en-US"/>
        </w:rPr>
        <w:t xml:space="preserve"> </w:t>
      </w:r>
      <w:r w:rsidRPr="0072132A">
        <w:rPr>
          <w:color w:val="000000" w:themeColor="text1"/>
          <w:sz w:val="18"/>
          <w:szCs w:val="18"/>
          <w:lang w:val="en-US"/>
        </w:rPr>
        <w:t>Udayasuryan</w:t>
      </w:r>
      <w:r w:rsidR="00871B1A">
        <w:rPr>
          <w:color w:val="000000" w:themeColor="text1"/>
          <w:sz w:val="18"/>
          <w:szCs w:val="18"/>
          <w:lang w:val="en-US"/>
        </w:rPr>
        <w:t xml:space="preserve"> </w:t>
      </w:r>
      <w:r w:rsidRPr="0072132A">
        <w:rPr>
          <w:color w:val="000000" w:themeColor="text1"/>
          <w:sz w:val="18"/>
          <w:szCs w:val="18"/>
          <w:lang w:val="en-US"/>
        </w:rPr>
        <w:t>B,</w:t>
      </w:r>
      <w:r w:rsidR="00871B1A">
        <w:rPr>
          <w:color w:val="000000" w:themeColor="text1"/>
          <w:sz w:val="18"/>
          <w:szCs w:val="18"/>
          <w:lang w:val="en-US"/>
        </w:rPr>
        <w:t xml:space="preserve"> </w:t>
      </w:r>
      <w:r w:rsidRPr="0072132A">
        <w:rPr>
          <w:color w:val="000000" w:themeColor="text1"/>
          <w:sz w:val="18"/>
          <w:szCs w:val="18"/>
          <w:lang w:val="en-US"/>
        </w:rPr>
        <w:t>Verbridge</w:t>
      </w:r>
      <w:r w:rsidR="00871B1A">
        <w:rPr>
          <w:color w:val="000000" w:themeColor="text1"/>
          <w:sz w:val="18"/>
          <w:szCs w:val="18"/>
          <w:lang w:val="en-US"/>
        </w:rPr>
        <w:t xml:space="preserve"> </w:t>
      </w:r>
      <w:r w:rsidRPr="0072132A">
        <w:rPr>
          <w:color w:val="000000" w:themeColor="text1"/>
          <w:sz w:val="18"/>
          <w:szCs w:val="18"/>
          <w:lang w:val="en-US"/>
        </w:rPr>
        <w:t>SS,</w:t>
      </w:r>
      <w:r w:rsidR="00871B1A">
        <w:rPr>
          <w:color w:val="000000" w:themeColor="text1"/>
          <w:sz w:val="18"/>
          <w:szCs w:val="18"/>
          <w:lang w:val="en-US"/>
        </w:rPr>
        <w:t xml:space="preserve"> </w:t>
      </w:r>
      <w:r w:rsidRPr="0072132A">
        <w:rPr>
          <w:color w:val="000000" w:themeColor="text1"/>
          <w:sz w:val="18"/>
          <w:szCs w:val="18"/>
          <w:lang w:val="en-US"/>
        </w:rPr>
        <w:t>Slade</w:t>
      </w:r>
      <w:r w:rsidR="00871B1A">
        <w:rPr>
          <w:color w:val="000000" w:themeColor="text1"/>
          <w:sz w:val="18"/>
          <w:szCs w:val="18"/>
          <w:lang w:val="en-US"/>
        </w:rPr>
        <w:t xml:space="preserve"> </w:t>
      </w:r>
      <w:r w:rsidRPr="0072132A">
        <w:rPr>
          <w:color w:val="000000" w:themeColor="text1"/>
          <w:sz w:val="18"/>
          <w:szCs w:val="18"/>
          <w:lang w:val="en-US"/>
        </w:rPr>
        <w:t>DJ.</w:t>
      </w:r>
      <w:r w:rsidR="00871B1A">
        <w:rPr>
          <w:color w:val="000000" w:themeColor="text1"/>
          <w:sz w:val="18"/>
          <w:szCs w:val="18"/>
          <w:lang w:val="en-US"/>
        </w:rPr>
        <w:t xml:space="preserve"> </w:t>
      </w:r>
      <w:r w:rsidRPr="0072132A">
        <w:rPr>
          <w:b/>
          <w:bCs/>
          <w:color w:val="000000" w:themeColor="text1"/>
          <w:sz w:val="18"/>
          <w:szCs w:val="18"/>
          <w:lang w:val="en-US"/>
        </w:rPr>
        <w:t>2019</w:t>
      </w:r>
      <w:r w:rsidRPr="0072132A">
        <w:rPr>
          <w:color w:val="000000" w:themeColor="text1"/>
          <w:sz w:val="18"/>
          <w:szCs w:val="18"/>
          <w:lang w:val="en-US"/>
        </w:rPr>
        <w:t>.</w:t>
      </w:r>
      <w:r w:rsidR="00871B1A">
        <w:rPr>
          <w:color w:val="000000" w:themeColor="text1"/>
          <w:sz w:val="18"/>
          <w:szCs w:val="18"/>
          <w:lang w:val="en-US"/>
        </w:rPr>
        <w:t xml:space="preserve"> </w:t>
      </w:r>
      <w:r w:rsidRPr="0072132A">
        <w:rPr>
          <w:i/>
          <w:iCs/>
          <w:color w:val="000000" w:themeColor="text1"/>
          <w:sz w:val="18"/>
          <w:szCs w:val="18"/>
          <w:lang w:val="en-US"/>
        </w:rPr>
        <w:t>Utilizing Whole</w:t>
      </w:r>
      <w:r w:rsidR="00D27719">
        <w:rPr>
          <w:i/>
          <w:iCs/>
          <w:color w:val="000000" w:themeColor="text1"/>
          <w:sz w:val="18"/>
          <w:szCs w:val="18"/>
          <w:lang w:val="en-US"/>
        </w:rPr>
        <w:t xml:space="preserve"> </w:t>
      </w:r>
      <w:r w:rsidRPr="0072132A">
        <w:rPr>
          <w:i/>
          <w:iCs/>
          <w:color w:val="000000" w:themeColor="text1"/>
          <w:sz w:val="18"/>
          <w:szCs w:val="18"/>
          <w:lang w:val="en-US"/>
        </w:rPr>
        <w:t>Fusobacterium Genomes To Identify, Correct, and Characterize Potential Virulence Protein Families. J Bacteriol</w:t>
      </w:r>
      <w:r w:rsidR="00D27719">
        <w:rPr>
          <w:color w:val="000000" w:themeColor="text1"/>
          <w:sz w:val="18"/>
          <w:szCs w:val="18"/>
          <w:lang w:val="en-US"/>
        </w:rPr>
        <w:t xml:space="preserve"> </w:t>
      </w:r>
      <w:r w:rsidRPr="0072132A">
        <w:rPr>
          <w:color w:val="000000" w:themeColor="text1"/>
          <w:sz w:val="18"/>
          <w:szCs w:val="18"/>
          <w:lang w:val="en-US"/>
        </w:rPr>
        <w:t xml:space="preserve">201:10.1128/jb.00273-19. </w:t>
      </w:r>
      <w:r>
        <w:fldChar w:fldCharType="begin"/>
      </w:r>
      <w:r w:rsidRPr="009F2082">
        <w:rPr>
          <w:lang w:val="en-US"/>
        </w:rPr>
        <w:instrText>HYPERLINK "https://doi.org/10.1128/jb.00273-19"</w:instrText>
      </w:r>
      <w:r>
        <w:fldChar w:fldCharType="separate"/>
      </w:r>
      <w:r w:rsidRPr="0072132A">
        <w:rPr>
          <w:rStyle w:val="Collegamentoipertestuale"/>
          <w:sz w:val="18"/>
          <w:szCs w:val="18"/>
          <w:lang w:val="en-US"/>
        </w:rPr>
        <w:t>https://doi.org/10.1128/jb.00273-19</w:t>
      </w:r>
      <w:r>
        <w:rPr>
          <w:rStyle w:val="Collegamentoipertestuale"/>
          <w:sz w:val="18"/>
          <w:szCs w:val="18"/>
          <w:lang w:val="en-US"/>
        </w:rPr>
        <w:fldChar w:fldCharType="end"/>
      </w:r>
    </w:p>
    <w:p w14:paraId="03D89513" w14:textId="5A6D3A71" w:rsidR="003B4BCF" w:rsidRPr="0072132A" w:rsidRDefault="003B4BCF" w:rsidP="0072132A">
      <w:pPr>
        <w:pStyle w:val="Testonotadichiusura"/>
        <w:jc w:val="both"/>
        <w:rPr>
          <w:lang w:val="en-US"/>
        </w:rPr>
      </w:pPr>
    </w:p>
  </w:endnote>
  <w:endnote w:id="75">
    <w:p w14:paraId="77DF5026" w14:textId="679F4A1A" w:rsidR="00543EDA" w:rsidRPr="0072132A" w:rsidRDefault="00543EDA"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Chen Y, Shi T, Li Y, Huang L, Yin D. </w:t>
      </w:r>
      <w:r w:rsidRPr="0072132A">
        <w:rPr>
          <w:i/>
          <w:iCs/>
          <w:sz w:val="18"/>
          <w:szCs w:val="18"/>
          <w:lang w:val="en-US"/>
        </w:rPr>
        <w:t xml:space="preserve">Fusobacterium nucleatum: The Opportunistic Pathogen of Periodontal and Peri-Implant Diseases. </w:t>
      </w:r>
      <w:r w:rsidRPr="0072132A">
        <w:rPr>
          <w:sz w:val="18"/>
          <w:szCs w:val="18"/>
          <w:lang w:val="en-US"/>
        </w:rPr>
        <w:t xml:space="preserve">Front Microbiol. </w:t>
      </w:r>
      <w:r w:rsidRPr="0072132A">
        <w:rPr>
          <w:b/>
          <w:bCs/>
          <w:sz w:val="18"/>
          <w:szCs w:val="18"/>
          <w:lang w:val="en-US"/>
        </w:rPr>
        <w:t>2022</w:t>
      </w:r>
      <w:r w:rsidRPr="0072132A">
        <w:rPr>
          <w:sz w:val="18"/>
          <w:szCs w:val="18"/>
          <w:lang w:val="en-US"/>
        </w:rPr>
        <w:t xml:space="preserve"> Mar 11;13:860149. doi: 10.3389/fmicb.2022.860149. PMID: 35369522; PMCID: PMC8966671.</w:t>
      </w:r>
    </w:p>
    <w:p w14:paraId="7DFA9AB0" w14:textId="77777777" w:rsidR="00543EDA" w:rsidRPr="0072132A" w:rsidRDefault="00543EDA" w:rsidP="0072132A">
      <w:pPr>
        <w:pStyle w:val="Testonotadichiusura"/>
        <w:jc w:val="both"/>
        <w:rPr>
          <w:lang w:val="en-US"/>
        </w:rPr>
      </w:pPr>
    </w:p>
  </w:endnote>
  <w:endnote w:id="76">
    <w:p w14:paraId="1195F0DA" w14:textId="14F05F48" w:rsidR="00543EDA" w:rsidRPr="0072132A" w:rsidRDefault="00543EDA"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Thurnheer T, Karygianni L, Flury M, Belibasakis GN. </w:t>
      </w:r>
      <w:r w:rsidRPr="0072132A">
        <w:rPr>
          <w:i/>
          <w:iCs/>
          <w:sz w:val="18"/>
          <w:szCs w:val="18"/>
          <w:lang w:val="en-US"/>
        </w:rPr>
        <w:t>Fusobacterium Species and Subspecies Differentially Affect the Composition and Architecture of Supra- and Subgingival Biofilms Models</w:t>
      </w:r>
      <w:r w:rsidRPr="0072132A">
        <w:rPr>
          <w:sz w:val="18"/>
          <w:szCs w:val="18"/>
          <w:lang w:val="en-US"/>
        </w:rPr>
        <w:t xml:space="preserve">. Front Microbiol. </w:t>
      </w:r>
      <w:r w:rsidRPr="0072132A">
        <w:rPr>
          <w:b/>
          <w:bCs/>
          <w:sz w:val="18"/>
          <w:szCs w:val="18"/>
          <w:lang w:val="en-US"/>
        </w:rPr>
        <w:t xml:space="preserve">2019 </w:t>
      </w:r>
      <w:r w:rsidRPr="0072132A">
        <w:rPr>
          <w:sz w:val="18"/>
          <w:szCs w:val="18"/>
          <w:lang w:val="en-US"/>
        </w:rPr>
        <w:t>Jul 30;10:1716. doi: 10.3389/fmicb.2019.01716. PMID: 31417514; PMCID: PMC6683768.</w:t>
      </w:r>
    </w:p>
    <w:p w14:paraId="7D4794B1" w14:textId="77777777" w:rsidR="00543EDA" w:rsidRPr="0072132A" w:rsidRDefault="00543EDA" w:rsidP="0072132A">
      <w:pPr>
        <w:pStyle w:val="Testonotadichiusura"/>
        <w:jc w:val="both"/>
        <w:rPr>
          <w:lang w:val="en-US"/>
        </w:rPr>
      </w:pPr>
    </w:p>
  </w:endnote>
  <w:endnote w:id="77">
    <w:p w14:paraId="3C482008" w14:textId="304C7C20" w:rsidR="00D04573" w:rsidRPr="0072132A" w:rsidRDefault="00D04573"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Sadeghloo Z, Ebrahimi S, Hakemi-Vala M, Totonchi M, Sadeghi A, Fatemi N. </w:t>
      </w:r>
      <w:r w:rsidRPr="0072132A">
        <w:rPr>
          <w:i/>
          <w:iCs/>
          <w:sz w:val="18"/>
          <w:szCs w:val="18"/>
          <w:lang w:val="en-US"/>
        </w:rPr>
        <w:t>Fusobacterium nucleatum and non-coding RNAs: orchestrating oncogenic pathways in colorectal cancer.</w:t>
      </w:r>
      <w:r w:rsidRPr="0072132A">
        <w:rPr>
          <w:sz w:val="18"/>
          <w:szCs w:val="18"/>
          <w:lang w:val="en-US"/>
        </w:rPr>
        <w:t xml:space="preserve"> Gut Pathog. </w:t>
      </w:r>
      <w:r w:rsidRPr="0072132A">
        <w:rPr>
          <w:b/>
          <w:bCs/>
          <w:sz w:val="18"/>
          <w:szCs w:val="18"/>
          <w:lang w:val="en-US"/>
        </w:rPr>
        <w:t>2025</w:t>
      </w:r>
      <w:r w:rsidRPr="0072132A">
        <w:rPr>
          <w:sz w:val="18"/>
          <w:szCs w:val="18"/>
          <w:lang w:val="en-US"/>
        </w:rPr>
        <w:t xml:space="preserve"> Oct 4;17(1):78. doi: 10.1186/s13099-025-00757-6. PMID: 41046274; PMCID: PMC12495833.</w:t>
      </w:r>
    </w:p>
    <w:p w14:paraId="5E130889" w14:textId="77777777" w:rsidR="00D04573" w:rsidRPr="0072132A" w:rsidRDefault="00D04573" w:rsidP="0072132A">
      <w:pPr>
        <w:pStyle w:val="Testonotadichiusura"/>
        <w:jc w:val="both"/>
        <w:rPr>
          <w:lang w:val="en-US"/>
        </w:rPr>
      </w:pPr>
    </w:p>
  </w:endnote>
  <w:endnote w:id="78">
    <w:p w14:paraId="509FC802" w14:textId="5304568D" w:rsidR="00D04573" w:rsidRPr="0072132A" w:rsidRDefault="00D04573"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Sun CH, Li BB, Wang B, Zhao J, Zhang XY, Li TT, Li WB, Tang D, Qiu MJ, Wang XC, Zhu CM, Qian ZR. </w:t>
      </w:r>
      <w:r w:rsidRPr="0072132A">
        <w:rPr>
          <w:i/>
          <w:iCs/>
          <w:sz w:val="18"/>
          <w:szCs w:val="18"/>
          <w:lang w:val="en-US"/>
        </w:rPr>
        <w:t xml:space="preserve">The role of Fusobacterium nucleatum in colorectal cancer: from carcinogenesis to clinical management. Chronic Dis </w:t>
      </w:r>
      <w:r w:rsidRPr="0072132A">
        <w:rPr>
          <w:sz w:val="18"/>
          <w:szCs w:val="18"/>
          <w:lang w:val="en-US"/>
        </w:rPr>
        <w:t xml:space="preserve">Transl Med. </w:t>
      </w:r>
      <w:r w:rsidRPr="0072132A">
        <w:rPr>
          <w:b/>
          <w:bCs/>
          <w:color w:val="000000" w:themeColor="text1"/>
          <w:sz w:val="18"/>
          <w:szCs w:val="18"/>
          <w:lang w:val="en-US"/>
        </w:rPr>
        <w:t>2019</w:t>
      </w:r>
      <w:r w:rsidRPr="0072132A">
        <w:rPr>
          <w:sz w:val="18"/>
          <w:szCs w:val="18"/>
          <w:lang w:val="en-US"/>
        </w:rPr>
        <w:t xml:space="preserve"> Oct 1;5(3):178-187. doi: 10.1016/j.cdtm.2019.09.001. PMID: 31891129; PMCID: PMC6926109.</w:t>
      </w:r>
    </w:p>
    <w:p w14:paraId="5BDC25FF" w14:textId="77777777" w:rsidR="00D04573" w:rsidRPr="0072132A" w:rsidRDefault="00D04573" w:rsidP="0072132A">
      <w:pPr>
        <w:pStyle w:val="Testonotadichiusura"/>
        <w:jc w:val="both"/>
        <w:rPr>
          <w:lang w:val="en-US"/>
        </w:rPr>
      </w:pPr>
    </w:p>
  </w:endnote>
  <w:endnote w:id="79">
    <w:p w14:paraId="6716C6E3" w14:textId="4BB72CAE" w:rsidR="00D04573" w:rsidRPr="0072132A" w:rsidRDefault="00D04573"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Marongiu GL, Fink U, Schöpf F, Oder A, von Kries JP, Roderer D. </w:t>
      </w:r>
      <w:r w:rsidRPr="0072132A">
        <w:rPr>
          <w:i/>
          <w:iCs/>
          <w:sz w:val="18"/>
          <w:szCs w:val="18"/>
          <w:lang w:val="en-US"/>
        </w:rPr>
        <w:t>Structural basis for immune cell binding of Fusobacterium nucleatum via the trimeric autotransporter adhesin</w:t>
      </w:r>
      <w:r w:rsidRPr="0072132A">
        <w:rPr>
          <w:sz w:val="18"/>
          <w:szCs w:val="18"/>
          <w:lang w:val="en-US"/>
        </w:rPr>
        <w:t xml:space="preserve"> CbpF. Proc Natl Acad Sci U S A. </w:t>
      </w:r>
      <w:r w:rsidRPr="0072132A">
        <w:rPr>
          <w:b/>
          <w:bCs/>
          <w:sz w:val="18"/>
          <w:szCs w:val="18"/>
          <w:lang w:val="en-US"/>
        </w:rPr>
        <w:t>2025</w:t>
      </w:r>
      <w:r w:rsidRPr="0072132A">
        <w:rPr>
          <w:sz w:val="18"/>
          <w:szCs w:val="18"/>
          <w:lang w:val="en-US"/>
        </w:rPr>
        <w:t xml:space="preserve"> Apr 15;122(15):e2418155122. doi: 10.1073/pnas.2418155122. Epub 2025 Apr 8. PMID: 40198705; PMCID: PMC12012533.</w:t>
      </w:r>
    </w:p>
    <w:p w14:paraId="5E93168E" w14:textId="77777777" w:rsidR="00D04573" w:rsidRPr="0072132A" w:rsidRDefault="00D04573" w:rsidP="0072132A">
      <w:pPr>
        <w:pStyle w:val="Testonotadichiusura"/>
        <w:jc w:val="both"/>
        <w:rPr>
          <w:lang w:val="en-US"/>
        </w:rPr>
      </w:pPr>
    </w:p>
  </w:endnote>
  <w:endnote w:id="80">
    <w:p w14:paraId="2BADF70C" w14:textId="15ECA199" w:rsidR="00D04573" w:rsidRPr="0072132A" w:rsidRDefault="00D04573"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Kaplan CW, Lux R, Haake SK, Shi W. </w:t>
      </w:r>
      <w:r w:rsidRPr="0072132A">
        <w:rPr>
          <w:i/>
          <w:iCs/>
          <w:sz w:val="18"/>
          <w:szCs w:val="18"/>
          <w:lang w:val="en-US"/>
        </w:rPr>
        <w:t xml:space="preserve">The Fusobacterium nucleatum outer membrane protein RadD is an arginine-inhibitable adhesin required for inter-species adherence and the structured architecture of multispecies biofilm. </w:t>
      </w:r>
      <w:r w:rsidRPr="0072132A">
        <w:rPr>
          <w:sz w:val="18"/>
          <w:szCs w:val="18"/>
          <w:lang w:val="en-US"/>
        </w:rPr>
        <w:t xml:space="preserve">Mol Microbiol. </w:t>
      </w:r>
      <w:r w:rsidRPr="0072132A">
        <w:rPr>
          <w:b/>
          <w:bCs/>
          <w:sz w:val="18"/>
          <w:szCs w:val="18"/>
          <w:lang w:val="en-US"/>
        </w:rPr>
        <w:t>2009</w:t>
      </w:r>
      <w:r w:rsidRPr="0072132A">
        <w:rPr>
          <w:sz w:val="18"/>
          <w:szCs w:val="18"/>
          <w:lang w:val="en-US"/>
        </w:rPr>
        <w:t xml:space="preserve"> Jan;71(1):35-47. doi: 10.1111/j.1365-2958.2008.06503.x. Epub 2008 Nov 7. PMID: 19007407; PMCID: PMC2741168.</w:t>
      </w:r>
    </w:p>
    <w:p w14:paraId="1F7BD15A" w14:textId="77777777" w:rsidR="00D04573" w:rsidRPr="0072132A" w:rsidRDefault="00D04573" w:rsidP="0072132A">
      <w:pPr>
        <w:pStyle w:val="Testonotadichiusura"/>
        <w:jc w:val="both"/>
        <w:rPr>
          <w:lang w:val="en-US"/>
        </w:rPr>
      </w:pPr>
    </w:p>
  </w:endnote>
  <w:endnote w:id="81">
    <w:p w14:paraId="49C7D29B" w14:textId="07072B06" w:rsidR="0023144A" w:rsidRPr="0072132A" w:rsidRDefault="0023144A"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Doron L, Coppenhagen-Glazer S, Ibrahim Y, Eini A, Naor R, Rosen G, Bachrach G. </w:t>
      </w:r>
      <w:r w:rsidRPr="0072132A">
        <w:rPr>
          <w:i/>
          <w:iCs/>
          <w:sz w:val="18"/>
          <w:szCs w:val="18"/>
          <w:lang w:val="en-US"/>
        </w:rPr>
        <w:t>Identification and characterization of fusolisin, the Fusobacterium nucleatum autotransporter serine protease.</w:t>
      </w:r>
      <w:r w:rsidRPr="0072132A">
        <w:rPr>
          <w:sz w:val="18"/>
          <w:szCs w:val="18"/>
          <w:lang w:val="en-US"/>
        </w:rPr>
        <w:t xml:space="preserve"> PLoS One. </w:t>
      </w:r>
      <w:r w:rsidRPr="0072132A">
        <w:rPr>
          <w:b/>
          <w:bCs/>
          <w:sz w:val="18"/>
          <w:szCs w:val="18"/>
          <w:lang w:val="en-US"/>
        </w:rPr>
        <w:t>2014</w:t>
      </w:r>
      <w:r w:rsidRPr="0072132A">
        <w:rPr>
          <w:sz w:val="18"/>
          <w:szCs w:val="18"/>
          <w:lang w:val="en-US"/>
        </w:rPr>
        <w:t xml:space="preserve"> Oct 30;9(10):e111329. doi: 10.1371/journal.pone.0111329. PMID: 25357190; PMCID: PMC4214739.</w:t>
      </w:r>
    </w:p>
    <w:p w14:paraId="75C416D7" w14:textId="77777777" w:rsidR="0023144A" w:rsidRPr="0072132A" w:rsidRDefault="0023144A" w:rsidP="0072132A">
      <w:pPr>
        <w:pStyle w:val="Testonotadichiusura"/>
        <w:jc w:val="both"/>
        <w:rPr>
          <w:lang w:val="en-US"/>
        </w:rPr>
      </w:pPr>
    </w:p>
  </w:endnote>
  <w:endnote w:id="82">
    <w:p w14:paraId="53D0200D" w14:textId="620DE3C2" w:rsidR="0023144A" w:rsidRPr="0072132A" w:rsidRDefault="0023144A"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Chen Y, Huang Z, Tang Z, Huang Y, Huang M, Liu H, Ziebolz D, Schmalz G, Jia B, Zhao J. </w:t>
      </w:r>
      <w:r w:rsidRPr="0072132A">
        <w:rPr>
          <w:i/>
          <w:iCs/>
          <w:sz w:val="18"/>
          <w:szCs w:val="18"/>
          <w:lang w:val="en-US"/>
        </w:rPr>
        <w:t>More Than Just a Periodontal Pathogen -the Research Progress on Fusobacterium nucleatum.</w:t>
      </w:r>
      <w:r w:rsidRPr="0072132A">
        <w:rPr>
          <w:sz w:val="18"/>
          <w:szCs w:val="18"/>
          <w:lang w:val="en-US"/>
        </w:rPr>
        <w:t xml:space="preserve"> Front Cell Infect Microbiol. </w:t>
      </w:r>
      <w:r w:rsidRPr="0072132A">
        <w:rPr>
          <w:b/>
          <w:bCs/>
          <w:sz w:val="18"/>
          <w:szCs w:val="18"/>
          <w:lang w:val="en-US"/>
        </w:rPr>
        <w:t>2022</w:t>
      </w:r>
      <w:r w:rsidRPr="0072132A">
        <w:rPr>
          <w:sz w:val="18"/>
          <w:szCs w:val="18"/>
          <w:lang w:val="en-US"/>
        </w:rPr>
        <w:t xml:space="preserve"> Feb 3;12:815318. doi: 10.3389/fcimb.2022.815318. PMID: 35186795; PMCID: PMC8851061.</w:t>
      </w:r>
    </w:p>
    <w:p w14:paraId="49408655" w14:textId="77777777" w:rsidR="0023144A" w:rsidRPr="0072132A" w:rsidRDefault="0023144A" w:rsidP="0072132A">
      <w:pPr>
        <w:pStyle w:val="Testonotadichiusura"/>
        <w:jc w:val="both"/>
        <w:rPr>
          <w:lang w:val="en-US"/>
        </w:rPr>
      </w:pPr>
    </w:p>
  </w:endnote>
  <w:endnote w:id="83">
    <w:p w14:paraId="601516B4" w14:textId="3B34B174" w:rsidR="0023144A" w:rsidRDefault="0023144A"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Uitto VJ, Baillie D, Wu Q, Gendron R, Grenier D, Putnins EE, Kanervo A, Firth JD. </w:t>
      </w:r>
      <w:r w:rsidRPr="0072132A">
        <w:rPr>
          <w:i/>
          <w:iCs/>
          <w:sz w:val="18"/>
          <w:szCs w:val="18"/>
          <w:lang w:val="en-US"/>
        </w:rPr>
        <w:t>Fusobacterium nucleatum increases collagenase 3 production and migration of epithelial cells</w:t>
      </w:r>
      <w:r w:rsidRPr="0072132A">
        <w:rPr>
          <w:sz w:val="18"/>
          <w:szCs w:val="18"/>
          <w:lang w:val="en-US"/>
        </w:rPr>
        <w:t xml:space="preserve">. Infect Immun. </w:t>
      </w:r>
      <w:r w:rsidRPr="0072132A">
        <w:rPr>
          <w:b/>
          <w:bCs/>
          <w:sz w:val="18"/>
          <w:szCs w:val="18"/>
          <w:lang w:val="en-US"/>
        </w:rPr>
        <w:t>2005</w:t>
      </w:r>
      <w:r w:rsidRPr="0072132A">
        <w:rPr>
          <w:sz w:val="18"/>
          <w:szCs w:val="18"/>
          <w:lang w:val="en-US"/>
        </w:rPr>
        <w:t xml:space="preserve"> Feb;73(2):1171-9. doi: 10.1128/IAI.73.2.1171-1179.2005. PMID: 15664960; PMCID: PMC547012.</w:t>
      </w:r>
    </w:p>
    <w:p w14:paraId="535CDD5F" w14:textId="77777777" w:rsidR="00871B1A" w:rsidRPr="0072132A" w:rsidRDefault="00871B1A" w:rsidP="0072132A">
      <w:pPr>
        <w:pStyle w:val="Testonotadichiusura"/>
        <w:jc w:val="both"/>
        <w:rPr>
          <w:lang w:val="en-US"/>
        </w:rPr>
      </w:pPr>
    </w:p>
  </w:endnote>
  <w:endnote w:id="84">
    <w:p w14:paraId="26C61D49" w14:textId="55D544FB" w:rsidR="00BB0A21" w:rsidRPr="0072132A" w:rsidRDefault="00BB0A21"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Idrus E, Harsono TS, Lestari W, Suniarti DF. </w:t>
      </w:r>
      <w:r w:rsidRPr="0072132A">
        <w:rPr>
          <w:i/>
          <w:iCs/>
          <w:sz w:val="18"/>
          <w:szCs w:val="18"/>
          <w:lang w:val="en-US"/>
        </w:rPr>
        <w:t>Fusobacterium nucleatum mechanism of action in alveolar bone destruction: Scoping review</w:t>
      </w:r>
      <w:r w:rsidRPr="0072132A">
        <w:rPr>
          <w:sz w:val="18"/>
          <w:szCs w:val="18"/>
          <w:lang w:val="en-US"/>
        </w:rPr>
        <w:t xml:space="preserve">. J Indian Soc Periodontol. </w:t>
      </w:r>
      <w:r w:rsidRPr="0072132A">
        <w:rPr>
          <w:b/>
          <w:bCs/>
          <w:sz w:val="18"/>
          <w:szCs w:val="18"/>
          <w:lang w:val="en-US"/>
        </w:rPr>
        <w:t>2024</w:t>
      </w:r>
      <w:r w:rsidRPr="0072132A">
        <w:rPr>
          <w:sz w:val="18"/>
          <w:szCs w:val="18"/>
          <w:lang w:val="en-US"/>
        </w:rPr>
        <w:t xml:space="preserve"> May-Jun;28(3):290-296. doi: 10.4103/jisp.jisp_269_23. Epub 2024 Dec 2. PMID: 39742069; PMCID: PMC11684578.</w:t>
      </w:r>
    </w:p>
    <w:p w14:paraId="74A02754" w14:textId="77777777" w:rsidR="00BB0A21" w:rsidRPr="0072132A" w:rsidRDefault="00BB0A21" w:rsidP="0072132A">
      <w:pPr>
        <w:pStyle w:val="Testonotadichiusura"/>
        <w:jc w:val="both"/>
        <w:rPr>
          <w:lang w:val="en-US"/>
        </w:rPr>
      </w:pPr>
    </w:p>
  </w:endnote>
  <w:endnote w:id="85">
    <w:p w14:paraId="62EC3084" w14:textId="53FF63D5" w:rsidR="0023144A" w:rsidRPr="0072132A" w:rsidRDefault="0023144A"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Chen YW, Camacho MI, Chen Y, Bhat AH, Chang C, Peluso EA, Wu C, Das A, Ton-That H. Genetic </w:t>
      </w:r>
      <w:r w:rsidRPr="0072132A">
        <w:rPr>
          <w:i/>
          <w:iCs/>
          <w:sz w:val="18"/>
          <w:szCs w:val="18"/>
          <w:lang w:val="en-US"/>
        </w:rPr>
        <w:t>Determinants of Hydrogen Sulfide Biosynthesis in Fusobacterium nucleatum Are Required for Bacterial Fitness, Antibiotic Sensitivity, and Virulence</w:t>
      </w:r>
      <w:r w:rsidRPr="0072132A">
        <w:rPr>
          <w:sz w:val="18"/>
          <w:szCs w:val="18"/>
          <w:lang w:val="en-US"/>
        </w:rPr>
        <w:t xml:space="preserve">. mBio. </w:t>
      </w:r>
      <w:r w:rsidRPr="0072132A">
        <w:rPr>
          <w:b/>
          <w:bCs/>
          <w:sz w:val="18"/>
          <w:szCs w:val="18"/>
          <w:lang w:val="en-US"/>
        </w:rPr>
        <w:t>2022</w:t>
      </w:r>
      <w:r w:rsidRPr="0072132A">
        <w:rPr>
          <w:sz w:val="18"/>
          <w:szCs w:val="18"/>
          <w:lang w:val="en-US"/>
        </w:rPr>
        <w:t xml:space="preserve"> Oct 26;13(5):e0193622. doi: 10.1128/mbio.01936-22. Epub 2022 Sep 8. PMID: 36073813; PMCID: PMC9600241.</w:t>
      </w:r>
    </w:p>
    <w:p w14:paraId="2EEB101F" w14:textId="77777777" w:rsidR="0023144A" w:rsidRPr="0072132A" w:rsidRDefault="0023144A" w:rsidP="0072132A">
      <w:pPr>
        <w:pStyle w:val="Testonotadichiusura"/>
        <w:jc w:val="both"/>
        <w:rPr>
          <w:lang w:val="en-US"/>
        </w:rPr>
      </w:pPr>
    </w:p>
  </w:endnote>
  <w:endnote w:id="86">
    <w:p w14:paraId="65B61720" w14:textId="0CA0EEA8" w:rsidR="0023144A" w:rsidRPr="0072132A" w:rsidRDefault="0023144A" w:rsidP="0072132A">
      <w:pPr>
        <w:pStyle w:val="Testonotadichiusura"/>
        <w:jc w:val="both"/>
        <w:rPr>
          <w:sz w:val="18"/>
          <w:szCs w:val="18"/>
        </w:rPr>
      </w:pPr>
      <w:r w:rsidRPr="0072132A">
        <w:rPr>
          <w:rStyle w:val="Rimandonotadichiusura"/>
        </w:rPr>
        <w:endnoteRef/>
      </w:r>
      <w:r w:rsidRPr="0072132A">
        <w:rPr>
          <w:lang w:val="en-US"/>
        </w:rPr>
        <w:t xml:space="preserve"> </w:t>
      </w:r>
      <w:r w:rsidRPr="0072132A">
        <w:rPr>
          <w:sz w:val="18"/>
          <w:szCs w:val="18"/>
          <w:lang w:val="en-US"/>
        </w:rPr>
        <w:t>Eskandari-Malayeri F, Rezeai M, Narimani T, Esmaeil N, Azizi M</w:t>
      </w:r>
      <w:r w:rsidRPr="0072132A">
        <w:rPr>
          <w:i/>
          <w:iCs/>
          <w:sz w:val="18"/>
          <w:szCs w:val="18"/>
          <w:lang w:val="en-US"/>
        </w:rPr>
        <w:t>. Investigating the effect of Fusobacterium nucleatum on the aggressive behavior of cancer-associated fibroblasts in colorectal cancer</w:t>
      </w:r>
      <w:r w:rsidRPr="0072132A">
        <w:rPr>
          <w:sz w:val="18"/>
          <w:szCs w:val="18"/>
          <w:lang w:val="en-US"/>
        </w:rPr>
        <w:t xml:space="preserve">. </w:t>
      </w:r>
      <w:r w:rsidRPr="0072132A">
        <w:rPr>
          <w:sz w:val="18"/>
          <w:szCs w:val="18"/>
        </w:rPr>
        <w:t xml:space="preserve">Discov Oncol. </w:t>
      </w:r>
      <w:r w:rsidRPr="0072132A">
        <w:rPr>
          <w:b/>
          <w:bCs/>
          <w:sz w:val="18"/>
          <w:szCs w:val="18"/>
        </w:rPr>
        <w:t xml:space="preserve">2024 </w:t>
      </w:r>
      <w:r w:rsidRPr="0072132A">
        <w:rPr>
          <w:sz w:val="18"/>
          <w:szCs w:val="18"/>
        </w:rPr>
        <w:t>Jul 19;15(1):292. doi: 10.1007/s12672-024-01156-0. PMID: 39030445; PMCID: PMC11264641.</w:t>
      </w:r>
    </w:p>
    <w:p w14:paraId="2968ABCD" w14:textId="77777777" w:rsidR="0023144A" w:rsidRPr="0072132A" w:rsidRDefault="0023144A" w:rsidP="0072132A">
      <w:pPr>
        <w:pStyle w:val="Testonotadichiusura"/>
        <w:jc w:val="both"/>
        <w:rPr>
          <w:sz w:val="18"/>
          <w:szCs w:val="18"/>
        </w:rPr>
      </w:pPr>
    </w:p>
  </w:endnote>
  <w:endnote w:id="87">
    <w:p w14:paraId="3D5476BC" w14:textId="7F622BEF" w:rsidR="00BB0A21" w:rsidRPr="0072132A" w:rsidRDefault="00BB0A21" w:rsidP="0072132A">
      <w:pPr>
        <w:pStyle w:val="Testonotadichiusura"/>
        <w:jc w:val="both"/>
        <w:rPr>
          <w:lang w:val="en-US"/>
        </w:rPr>
      </w:pPr>
      <w:r w:rsidRPr="0072132A">
        <w:rPr>
          <w:rStyle w:val="Rimandonotadichiusura"/>
        </w:rPr>
        <w:endnoteRef/>
      </w:r>
      <w:r w:rsidRPr="0072132A">
        <w:t xml:space="preserve"> </w:t>
      </w:r>
      <w:r w:rsidRPr="0072132A">
        <w:rPr>
          <w:sz w:val="18"/>
          <w:szCs w:val="18"/>
        </w:rPr>
        <w:t xml:space="preserve">Tavares LJ, Klein MI, Panariello BHD, Dorigatti de Avila E, Pavarina AC. </w:t>
      </w:r>
      <w:r w:rsidRPr="0072132A">
        <w:rPr>
          <w:i/>
          <w:iCs/>
          <w:sz w:val="18"/>
          <w:szCs w:val="18"/>
          <w:lang w:val="en-US"/>
        </w:rPr>
        <w:t>An in vitro model of Fusobacterium nucleatum and Porphyromonas gingivalis in single- and dual-species biofilms.</w:t>
      </w:r>
      <w:r w:rsidRPr="0072132A">
        <w:rPr>
          <w:sz w:val="18"/>
          <w:szCs w:val="18"/>
          <w:lang w:val="en-US"/>
        </w:rPr>
        <w:t xml:space="preserve"> J Periodontal Implant Sci. </w:t>
      </w:r>
      <w:r w:rsidRPr="0072132A">
        <w:rPr>
          <w:b/>
          <w:bCs/>
          <w:sz w:val="18"/>
          <w:szCs w:val="18"/>
          <w:lang w:val="en-US"/>
        </w:rPr>
        <w:t>2018</w:t>
      </w:r>
      <w:r w:rsidRPr="0072132A">
        <w:rPr>
          <w:sz w:val="18"/>
          <w:szCs w:val="18"/>
          <w:lang w:val="en-US"/>
        </w:rPr>
        <w:t xml:space="preserve"> Feb 27;48(1):12-21. doi: 10.5051/jpis.2018.48.1.12. PMID: 29535887; PMCID: PMC5841263.</w:t>
      </w:r>
    </w:p>
    <w:p w14:paraId="57A9DE62" w14:textId="77777777" w:rsidR="00BB0A21" w:rsidRPr="0072132A" w:rsidRDefault="00BB0A21" w:rsidP="0072132A">
      <w:pPr>
        <w:pStyle w:val="Testonotadichiusura"/>
        <w:jc w:val="both"/>
        <w:rPr>
          <w:lang w:val="en-US"/>
        </w:rPr>
      </w:pPr>
    </w:p>
  </w:endnote>
  <w:endnote w:id="88">
    <w:p w14:paraId="6F3A9D72" w14:textId="06F3E0C9" w:rsidR="00BB0A21" w:rsidRPr="0072132A" w:rsidRDefault="00BB0A21"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Muchova M, Kuehne SA, Grant MM, Smith PP, Nagi M, Chapple ILC, Hirschfeld J. </w:t>
      </w:r>
      <w:r w:rsidRPr="0072132A">
        <w:rPr>
          <w:i/>
          <w:iCs/>
          <w:sz w:val="18"/>
          <w:szCs w:val="18"/>
          <w:lang w:val="en-US"/>
        </w:rPr>
        <w:t>Fusobacterium nucleatum elicits subspecies-specific responses in human neutrophils.</w:t>
      </w:r>
      <w:r w:rsidRPr="0072132A">
        <w:rPr>
          <w:sz w:val="18"/>
          <w:szCs w:val="18"/>
          <w:lang w:val="en-US"/>
        </w:rPr>
        <w:t xml:space="preserve"> Front Cell Infect Microbiol. </w:t>
      </w:r>
      <w:r w:rsidRPr="0072132A">
        <w:rPr>
          <w:b/>
          <w:bCs/>
          <w:sz w:val="18"/>
          <w:szCs w:val="18"/>
          <w:lang w:val="en-US"/>
        </w:rPr>
        <w:t>2024</w:t>
      </w:r>
      <w:r w:rsidRPr="0072132A">
        <w:rPr>
          <w:sz w:val="18"/>
          <w:szCs w:val="18"/>
          <w:lang w:val="en-US"/>
        </w:rPr>
        <w:t xml:space="preserve"> Oct 10;14:1449539. doi: 10.3389/fcimb.2024.1449539. PMID: 39450334; PMCID: PMC11499235.</w:t>
      </w:r>
    </w:p>
    <w:p w14:paraId="2AC98928" w14:textId="77777777" w:rsidR="00BB0A21" w:rsidRPr="0072132A" w:rsidRDefault="00BB0A21" w:rsidP="0072132A">
      <w:pPr>
        <w:pStyle w:val="Testonotadichiusura"/>
        <w:jc w:val="both"/>
        <w:rPr>
          <w:lang w:val="en-US"/>
        </w:rPr>
      </w:pPr>
    </w:p>
  </w:endnote>
  <w:endnote w:id="89">
    <w:p w14:paraId="59DD2F2E" w14:textId="3BB66043" w:rsidR="00BB0A21" w:rsidRPr="0072132A" w:rsidRDefault="00BB0A21"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Ellett F, Kacamak NI, Alvarez CR, Oliveira EHS, Hasturk H, Paster BJ, Kantarci A, Irimia D. </w:t>
      </w:r>
      <w:r w:rsidRPr="0072132A">
        <w:rPr>
          <w:i/>
          <w:iCs/>
          <w:sz w:val="18"/>
          <w:szCs w:val="18"/>
          <w:lang w:val="en-US"/>
        </w:rPr>
        <w:t>Fusobacterium nucleatum dissemination by neutrophils.</w:t>
      </w:r>
      <w:r w:rsidRPr="0072132A">
        <w:rPr>
          <w:sz w:val="18"/>
          <w:szCs w:val="18"/>
          <w:lang w:val="en-US"/>
        </w:rPr>
        <w:t xml:space="preserve"> J Oral Microbiol. </w:t>
      </w:r>
      <w:r w:rsidRPr="0072132A">
        <w:rPr>
          <w:b/>
          <w:bCs/>
          <w:sz w:val="18"/>
          <w:szCs w:val="18"/>
          <w:lang w:val="en-US"/>
        </w:rPr>
        <w:t>2023</w:t>
      </w:r>
      <w:r w:rsidRPr="0072132A">
        <w:rPr>
          <w:sz w:val="18"/>
          <w:szCs w:val="18"/>
          <w:lang w:val="en-US"/>
        </w:rPr>
        <w:t xml:space="preserve"> Jun 4;15(1):2217067. doi: 10.1080/20002297.2023.2217067. PMID: 37283724; PMCID: PMC10240972.</w:t>
      </w:r>
    </w:p>
    <w:p w14:paraId="5804055C" w14:textId="77777777" w:rsidR="00A82110" w:rsidRPr="0072132A" w:rsidRDefault="00A82110" w:rsidP="0072132A">
      <w:pPr>
        <w:pStyle w:val="Testonotadichiusura"/>
        <w:jc w:val="both"/>
        <w:rPr>
          <w:sz w:val="18"/>
          <w:szCs w:val="18"/>
          <w:lang w:val="en-US"/>
        </w:rPr>
      </w:pPr>
    </w:p>
  </w:endnote>
  <w:endnote w:id="90">
    <w:p w14:paraId="4859F3E9" w14:textId="3BD043D4" w:rsidR="005535B8" w:rsidRPr="0072132A" w:rsidRDefault="005535B8"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Bui FQ, Johnson L, Roberts J, Hung SC, Lee J, Atanasova KR, Huang PR, Yilmaz Ö, Ojcius DM. </w:t>
      </w:r>
      <w:r w:rsidRPr="0072132A">
        <w:rPr>
          <w:i/>
          <w:iCs/>
          <w:sz w:val="18"/>
          <w:szCs w:val="18"/>
          <w:lang w:val="en-US"/>
        </w:rPr>
        <w:t>Fusobacterium nucleatum infection of gingival epithelial cells leads to NLRP3 inflammasome-dependent secretion of IL-1</w:t>
      </w:r>
      <w:r w:rsidRPr="0072132A">
        <w:rPr>
          <w:i/>
          <w:iCs/>
          <w:sz w:val="18"/>
          <w:szCs w:val="18"/>
        </w:rPr>
        <w:t>β</w:t>
      </w:r>
      <w:r w:rsidRPr="0072132A">
        <w:rPr>
          <w:i/>
          <w:iCs/>
          <w:sz w:val="18"/>
          <w:szCs w:val="18"/>
          <w:lang w:val="en-US"/>
        </w:rPr>
        <w:t xml:space="preserve"> and the danger signals</w:t>
      </w:r>
      <w:r w:rsidRPr="0072132A">
        <w:rPr>
          <w:sz w:val="18"/>
          <w:szCs w:val="18"/>
          <w:lang w:val="en-US"/>
        </w:rPr>
        <w:t xml:space="preserve"> ASC and HMGB1. Cell Microbiol. </w:t>
      </w:r>
      <w:r w:rsidRPr="0072132A">
        <w:rPr>
          <w:b/>
          <w:bCs/>
          <w:sz w:val="18"/>
          <w:szCs w:val="18"/>
          <w:lang w:val="en-US"/>
        </w:rPr>
        <w:t>2016</w:t>
      </w:r>
      <w:r w:rsidRPr="0072132A">
        <w:rPr>
          <w:sz w:val="18"/>
          <w:szCs w:val="18"/>
          <w:lang w:val="en-US"/>
        </w:rPr>
        <w:t xml:space="preserve"> Jul;18(7):970-81. doi: 10.1111/cmi.12560. Epub 2016 Feb 5. PMID: 26687842; PMCID: PMC5101013.</w:t>
      </w:r>
    </w:p>
    <w:p w14:paraId="38CE7D7C" w14:textId="77777777" w:rsidR="00A82110" w:rsidRPr="0072132A" w:rsidRDefault="00A82110" w:rsidP="0072132A">
      <w:pPr>
        <w:pStyle w:val="Testonotadichiusura"/>
        <w:jc w:val="both"/>
        <w:rPr>
          <w:lang w:val="en-US"/>
        </w:rPr>
      </w:pPr>
    </w:p>
  </w:endnote>
  <w:endnote w:id="91">
    <w:p w14:paraId="5CB85C6A" w14:textId="1C54F6A3" w:rsidR="005535B8" w:rsidRPr="0072132A" w:rsidRDefault="005535B8" w:rsidP="0072132A">
      <w:pPr>
        <w:pStyle w:val="Testonotadichiusura"/>
        <w:jc w:val="both"/>
        <w:rPr>
          <w:b/>
          <w:bCs/>
          <w:lang w:val="en-US"/>
        </w:rPr>
      </w:pPr>
      <w:r w:rsidRPr="0072132A">
        <w:rPr>
          <w:rStyle w:val="Rimandonotadichiusura"/>
        </w:rPr>
        <w:endnoteRef/>
      </w:r>
      <w:r w:rsidRPr="0072132A">
        <w:rPr>
          <w:lang w:val="en-US"/>
        </w:rPr>
        <w:t xml:space="preserve"> </w:t>
      </w:r>
      <w:r w:rsidRPr="0072132A">
        <w:rPr>
          <w:sz w:val="18"/>
          <w:szCs w:val="18"/>
          <w:lang w:val="en-US"/>
        </w:rPr>
        <w:t xml:space="preserve">Gao H, Sun T, Yang F, Yuan J, Yang M, Kang W, Tang D, Zhang J, Feng Q. </w:t>
      </w:r>
      <w:r w:rsidRPr="0072132A">
        <w:rPr>
          <w:i/>
          <w:iCs/>
          <w:sz w:val="18"/>
          <w:szCs w:val="18"/>
          <w:lang w:val="en-US"/>
        </w:rPr>
        <w:t>The Pathogenic Effects of Fusobacterium nucleatum on the Proliferation, Osteogenic Differentiation, and Transcriptome of Osteoblasts.</w:t>
      </w:r>
      <w:r w:rsidRPr="0072132A">
        <w:rPr>
          <w:sz w:val="18"/>
          <w:szCs w:val="18"/>
          <w:lang w:val="en-US"/>
        </w:rPr>
        <w:t xml:space="preserve"> Front Cell Dev Biol. </w:t>
      </w:r>
      <w:r w:rsidRPr="0072132A">
        <w:rPr>
          <w:b/>
          <w:bCs/>
          <w:sz w:val="18"/>
          <w:szCs w:val="18"/>
          <w:lang w:val="en-US"/>
        </w:rPr>
        <w:t>2020</w:t>
      </w:r>
      <w:r w:rsidRPr="0072132A">
        <w:rPr>
          <w:sz w:val="18"/>
          <w:szCs w:val="18"/>
          <w:lang w:val="en-US"/>
        </w:rPr>
        <w:t xml:space="preserve"> Sep 11;8:807. doi: 10.3389/fcell.2020.00807. PMID: 33042984; PMCID: PMC7517582.</w:t>
      </w:r>
    </w:p>
    <w:p w14:paraId="0566D79D" w14:textId="27BE3A08" w:rsidR="005535B8" w:rsidRPr="0072132A" w:rsidRDefault="005535B8" w:rsidP="0072132A">
      <w:pPr>
        <w:pStyle w:val="Testonotadichiusura"/>
        <w:jc w:val="both"/>
        <w:rPr>
          <w:lang w:val="en-US"/>
        </w:rPr>
      </w:pPr>
    </w:p>
  </w:endnote>
  <w:endnote w:id="92">
    <w:p w14:paraId="06742F27" w14:textId="68BD4A00" w:rsidR="00B32383" w:rsidRPr="0072132A" w:rsidRDefault="00B32383"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Li W, Zhang Z, Wu R, Mao M, Ji Y, Wang X, Dou S, Yan M, Chen W. </w:t>
      </w:r>
      <w:r w:rsidRPr="0072132A">
        <w:rPr>
          <w:i/>
          <w:iCs/>
          <w:sz w:val="18"/>
          <w:szCs w:val="18"/>
          <w:lang w:val="en-US"/>
        </w:rPr>
        <w:t>Fusobacterium nucleatum-Derived Outer Membrane Vesicles Promote Immunotherapy Resistance via Changes in Tryptophan Metabolism in Tumour-Associated Macrophages.</w:t>
      </w:r>
      <w:r w:rsidRPr="0072132A">
        <w:rPr>
          <w:sz w:val="18"/>
          <w:szCs w:val="18"/>
          <w:lang w:val="en-US"/>
        </w:rPr>
        <w:t xml:space="preserve"> J Extracell Vesicles. </w:t>
      </w:r>
      <w:r w:rsidRPr="0072132A">
        <w:rPr>
          <w:b/>
          <w:bCs/>
          <w:sz w:val="18"/>
          <w:szCs w:val="18"/>
          <w:lang w:val="en-US"/>
        </w:rPr>
        <w:t>2025</w:t>
      </w:r>
      <w:r w:rsidRPr="0072132A">
        <w:rPr>
          <w:sz w:val="18"/>
          <w:szCs w:val="18"/>
          <w:lang w:val="en-US"/>
        </w:rPr>
        <w:t xml:space="preserve"> Apr;14(4):e70070. doi: 10.1002/jev2.70070. PMID: 40241230; PMCID: PMC12003102.</w:t>
      </w:r>
    </w:p>
    <w:p w14:paraId="2788F788" w14:textId="77777777" w:rsidR="00B32383" w:rsidRPr="0072132A" w:rsidRDefault="00B32383" w:rsidP="0072132A">
      <w:pPr>
        <w:pStyle w:val="Testonotadichiusura"/>
        <w:jc w:val="both"/>
        <w:rPr>
          <w:lang w:val="en-US"/>
        </w:rPr>
      </w:pPr>
    </w:p>
  </w:endnote>
  <w:endnote w:id="93">
    <w:p w14:paraId="0E87CE5D" w14:textId="194238B8" w:rsidR="00C87459" w:rsidRDefault="00C87459" w:rsidP="00C87459">
      <w:pPr>
        <w:pStyle w:val="Testonotadichiusura"/>
        <w:jc w:val="both"/>
        <w:rPr>
          <w:sz w:val="18"/>
          <w:szCs w:val="18"/>
          <w:lang w:val="en-US"/>
        </w:rPr>
      </w:pPr>
      <w:r>
        <w:rPr>
          <w:rStyle w:val="Rimandonotadichiusura"/>
        </w:rPr>
        <w:endnoteRef/>
      </w:r>
      <w:r w:rsidRPr="00C87459">
        <w:rPr>
          <w:lang w:val="en-US"/>
        </w:rPr>
        <w:t xml:space="preserve"> </w:t>
      </w:r>
      <w:r w:rsidRPr="0072132A">
        <w:rPr>
          <w:sz w:val="18"/>
          <w:szCs w:val="18"/>
          <w:lang w:val="en-US"/>
        </w:rPr>
        <w:t>Fan Z, Tang P, Li C, Yang Q, Xu Y, Su C, Li L. </w:t>
      </w:r>
      <w:r w:rsidRPr="0072132A">
        <w:rPr>
          <w:i/>
          <w:iCs/>
          <w:sz w:val="18"/>
          <w:szCs w:val="18"/>
          <w:lang w:val="en-US"/>
        </w:rPr>
        <w:t>Fusobacterium nucleatum and its associated systemic diseases: epidemiologic studies and possible mechanisms.</w:t>
      </w:r>
      <w:r w:rsidRPr="0072132A">
        <w:rPr>
          <w:sz w:val="18"/>
          <w:szCs w:val="18"/>
          <w:lang w:val="en-US"/>
        </w:rPr>
        <w:t xml:space="preserve"> J Oral Microbiol. </w:t>
      </w:r>
      <w:r w:rsidRPr="0072132A">
        <w:rPr>
          <w:b/>
          <w:bCs/>
          <w:sz w:val="18"/>
          <w:szCs w:val="18"/>
          <w:lang w:val="en-US"/>
        </w:rPr>
        <w:t>2022</w:t>
      </w:r>
      <w:r w:rsidRPr="0072132A">
        <w:rPr>
          <w:sz w:val="18"/>
          <w:szCs w:val="18"/>
          <w:lang w:val="en-US"/>
        </w:rPr>
        <w:t xml:space="preserve"> Nov 14;15(1):2145729. doi: 10.1080/20002297.2022.2145729. PMID: 36407281; PMCID: PMC9673791</w:t>
      </w:r>
      <w:r>
        <w:rPr>
          <w:sz w:val="18"/>
          <w:szCs w:val="18"/>
          <w:lang w:val="en-US"/>
        </w:rPr>
        <w:t>.</w:t>
      </w:r>
    </w:p>
    <w:p w14:paraId="729FCB07" w14:textId="77777777" w:rsidR="00C87459" w:rsidRPr="00C87459" w:rsidRDefault="00C87459">
      <w:pPr>
        <w:pStyle w:val="Testonotadichiusura"/>
        <w:rPr>
          <w:lang w:val="en-US"/>
        </w:rPr>
      </w:pPr>
    </w:p>
  </w:endnote>
  <w:endnote w:id="94">
    <w:p w14:paraId="4CB32C48" w14:textId="7B1F5C62" w:rsidR="00C87459" w:rsidRDefault="00C87459" w:rsidP="00C87459">
      <w:pPr>
        <w:pStyle w:val="Testonotadichiusura"/>
        <w:jc w:val="both"/>
        <w:rPr>
          <w:sz w:val="18"/>
          <w:szCs w:val="18"/>
          <w:lang w:val="en-US"/>
        </w:rPr>
      </w:pPr>
      <w:r>
        <w:rPr>
          <w:rStyle w:val="Rimandonotadichiusura"/>
        </w:rPr>
        <w:endnoteRef/>
      </w:r>
      <w:r w:rsidRPr="00C87459">
        <w:rPr>
          <w:lang w:val="en-US"/>
        </w:rPr>
        <w:t xml:space="preserve"> </w:t>
      </w:r>
      <w:r w:rsidRPr="0072132A">
        <w:rPr>
          <w:sz w:val="18"/>
          <w:szCs w:val="18"/>
          <w:lang w:val="en-US"/>
        </w:rPr>
        <w:t xml:space="preserve">Ciani L, Libonati A, Dri M, Pomella S, Campanella V, Barillari G. </w:t>
      </w:r>
      <w:r w:rsidRPr="0072132A">
        <w:rPr>
          <w:i/>
          <w:iCs/>
          <w:sz w:val="18"/>
          <w:szCs w:val="18"/>
          <w:lang w:val="en-US"/>
        </w:rPr>
        <w:t>About a Possible Impact of Endodontic Infections by Fusobacterium nucleatum or Porphyromonas gingivalis on Oral Carcinogenesis: A Literature Overview.</w:t>
      </w:r>
      <w:r w:rsidRPr="0072132A">
        <w:rPr>
          <w:sz w:val="18"/>
          <w:szCs w:val="18"/>
          <w:lang w:val="en-US"/>
        </w:rPr>
        <w:t xml:space="preserve"> Int J Mol Sci.</w:t>
      </w:r>
      <w:r w:rsidRPr="0072132A">
        <w:rPr>
          <w:b/>
          <w:bCs/>
          <w:sz w:val="18"/>
          <w:szCs w:val="18"/>
          <w:lang w:val="en-US"/>
        </w:rPr>
        <w:t xml:space="preserve"> 2024</w:t>
      </w:r>
      <w:r w:rsidRPr="0072132A">
        <w:rPr>
          <w:sz w:val="18"/>
          <w:szCs w:val="18"/>
          <w:lang w:val="en-US"/>
        </w:rPr>
        <w:t xml:space="preserve"> May 7;25(10):5083. doi: 10.3390/ijms25105083. PMID: 38791123; PMCID: PMC11121237</w:t>
      </w:r>
      <w:r>
        <w:rPr>
          <w:sz w:val="18"/>
          <w:szCs w:val="18"/>
          <w:lang w:val="en-US"/>
        </w:rPr>
        <w:t>.</w:t>
      </w:r>
    </w:p>
    <w:p w14:paraId="034FE729" w14:textId="77777777" w:rsidR="00C87459" w:rsidRPr="00C87459" w:rsidRDefault="00C87459">
      <w:pPr>
        <w:pStyle w:val="Testonotadichiusura"/>
        <w:rPr>
          <w:lang w:val="en-US"/>
        </w:rPr>
      </w:pPr>
    </w:p>
  </w:endnote>
  <w:endnote w:id="95">
    <w:p w14:paraId="2C7CE4E7" w14:textId="77777777" w:rsidR="001701A4" w:rsidRPr="0072132A" w:rsidRDefault="001701A4" w:rsidP="001701A4">
      <w:pPr>
        <w:pStyle w:val="Testonotadichiusura"/>
        <w:jc w:val="both"/>
        <w:rPr>
          <w:lang w:val="en-US"/>
        </w:rPr>
      </w:pPr>
      <w:r>
        <w:rPr>
          <w:rStyle w:val="Rimandonotadichiusura"/>
        </w:rPr>
        <w:endnoteRef/>
      </w:r>
      <w:r w:rsidRPr="001701A4">
        <w:rPr>
          <w:lang w:val="en-US"/>
        </w:rPr>
        <w:t xml:space="preserve"> </w:t>
      </w:r>
      <w:r w:rsidRPr="0072132A">
        <w:rPr>
          <w:sz w:val="18"/>
          <w:szCs w:val="18"/>
          <w:lang w:val="en-US"/>
        </w:rPr>
        <w:t xml:space="preserve">Quirynen M, Van Eldere J, Pauwels M, Bollen CM, van Steenberghe D. </w:t>
      </w:r>
      <w:r w:rsidRPr="0072132A">
        <w:rPr>
          <w:i/>
          <w:iCs/>
          <w:sz w:val="18"/>
          <w:szCs w:val="18"/>
          <w:lang w:val="en-US"/>
        </w:rPr>
        <w:t>In vitro volatile sulfur compound production of oral bacteria in different culture media</w:t>
      </w:r>
      <w:r w:rsidRPr="0072132A">
        <w:rPr>
          <w:sz w:val="18"/>
          <w:szCs w:val="18"/>
          <w:lang w:val="en-US"/>
        </w:rPr>
        <w:t xml:space="preserve">. Quintessence Int. </w:t>
      </w:r>
      <w:r w:rsidRPr="0072132A">
        <w:rPr>
          <w:b/>
          <w:bCs/>
          <w:sz w:val="18"/>
          <w:szCs w:val="18"/>
          <w:lang w:val="en-US"/>
        </w:rPr>
        <w:t>1999</w:t>
      </w:r>
      <w:r w:rsidRPr="0072132A">
        <w:rPr>
          <w:sz w:val="18"/>
          <w:szCs w:val="18"/>
          <w:lang w:val="en-US"/>
        </w:rPr>
        <w:t xml:space="preserve"> May;30(5):351-6. PMID: 10635291.</w:t>
      </w:r>
    </w:p>
    <w:p w14:paraId="36252034" w14:textId="4E6637C0" w:rsidR="001701A4" w:rsidRPr="001701A4" w:rsidRDefault="001701A4">
      <w:pPr>
        <w:pStyle w:val="Testonotadichiusura"/>
        <w:rPr>
          <w:lang w:val="en-US"/>
        </w:rPr>
      </w:pPr>
    </w:p>
  </w:endnote>
  <w:endnote w:id="96">
    <w:p w14:paraId="4339D394" w14:textId="77777777" w:rsidR="00630DC0" w:rsidRPr="0072132A" w:rsidRDefault="00630DC0" w:rsidP="00630DC0">
      <w:pPr>
        <w:pStyle w:val="Testonotadichiusura"/>
        <w:jc w:val="both"/>
        <w:rPr>
          <w:sz w:val="18"/>
          <w:szCs w:val="18"/>
          <w:lang w:val="en-US"/>
        </w:rPr>
      </w:pPr>
      <w:r>
        <w:rPr>
          <w:rStyle w:val="Rimandonotadichiusura"/>
        </w:rPr>
        <w:endnoteRef/>
      </w:r>
      <w:r w:rsidRPr="00630DC0">
        <w:rPr>
          <w:lang w:val="en-US"/>
        </w:rPr>
        <w:t xml:space="preserve"> </w:t>
      </w:r>
      <w:r w:rsidRPr="0072132A">
        <w:rPr>
          <w:sz w:val="18"/>
          <w:szCs w:val="18"/>
          <w:lang w:val="en-US"/>
        </w:rPr>
        <w:t xml:space="preserve">Chávez de Paz Villanueva LE. </w:t>
      </w:r>
      <w:r w:rsidRPr="0072132A">
        <w:rPr>
          <w:i/>
          <w:iCs/>
          <w:sz w:val="18"/>
          <w:szCs w:val="18"/>
          <w:lang w:val="en-US"/>
        </w:rPr>
        <w:t xml:space="preserve">Fusobacterium nucleatum in endodontic flare-ups. Oral Surg Oral Med Oral Pathol Oral Radiol Endod. </w:t>
      </w:r>
      <w:r w:rsidRPr="0072132A">
        <w:rPr>
          <w:b/>
          <w:bCs/>
          <w:sz w:val="18"/>
          <w:szCs w:val="18"/>
          <w:lang w:val="en-US"/>
        </w:rPr>
        <w:t>2002</w:t>
      </w:r>
      <w:r w:rsidRPr="0072132A">
        <w:rPr>
          <w:sz w:val="18"/>
          <w:szCs w:val="18"/>
          <w:lang w:val="en-US"/>
        </w:rPr>
        <w:t xml:space="preserve"> Feb;93(2):179-83. doi: 10.1067/moe.2002.120803. PMID: 11862208.</w:t>
      </w:r>
    </w:p>
    <w:p w14:paraId="5E5842FC" w14:textId="1C76B55A" w:rsidR="00630DC0" w:rsidRPr="00630DC0" w:rsidRDefault="00630DC0">
      <w:pPr>
        <w:pStyle w:val="Testonotadichiusura"/>
        <w:rPr>
          <w:lang w:val="en-US"/>
        </w:rPr>
      </w:pPr>
    </w:p>
  </w:endnote>
  <w:endnote w:id="97">
    <w:p w14:paraId="3EF12036" w14:textId="1C33D8CA" w:rsidR="00A82110" w:rsidRPr="0072132A" w:rsidRDefault="00A82110" w:rsidP="0072132A">
      <w:pPr>
        <w:pStyle w:val="Testonotadichiusura"/>
        <w:jc w:val="both"/>
        <w:rPr>
          <w:sz w:val="18"/>
          <w:szCs w:val="18"/>
          <w:lang w:val="en-US"/>
        </w:rPr>
      </w:pPr>
      <w:r w:rsidRPr="0072132A">
        <w:rPr>
          <w:rStyle w:val="Rimandonotadichiusura"/>
        </w:rPr>
        <w:endnoteRef/>
      </w:r>
      <w:r w:rsidRPr="0072132A">
        <w:rPr>
          <w:lang w:val="en-US"/>
        </w:rPr>
        <w:t xml:space="preserve"> </w:t>
      </w:r>
      <w:r w:rsidRPr="0072132A">
        <w:rPr>
          <w:sz w:val="18"/>
          <w:szCs w:val="18"/>
          <w:lang w:val="en-US"/>
        </w:rPr>
        <w:t xml:space="preserve">Ou S, Wang H, Tao Y, Luo K, Ye J, Ran S, Guan Z, Wang Y, Hu H, Huang R. </w:t>
      </w:r>
      <w:r w:rsidRPr="0072132A">
        <w:rPr>
          <w:i/>
          <w:iCs/>
          <w:sz w:val="18"/>
          <w:szCs w:val="18"/>
          <w:lang w:val="en-US"/>
        </w:rPr>
        <w:t>Fusobacterium nucleatum and colorectal cancer: From phenomenon to mechanism.</w:t>
      </w:r>
      <w:r w:rsidRPr="0072132A">
        <w:rPr>
          <w:sz w:val="18"/>
          <w:szCs w:val="18"/>
          <w:lang w:val="en-US"/>
        </w:rPr>
        <w:t xml:space="preserve"> Front Cell Infect Microbiol. </w:t>
      </w:r>
      <w:r w:rsidRPr="0072132A">
        <w:rPr>
          <w:b/>
          <w:bCs/>
          <w:sz w:val="18"/>
          <w:szCs w:val="18"/>
          <w:lang w:val="en-US"/>
        </w:rPr>
        <w:t>2022</w:t>
      </w:r>
      <w:r w:rsidRPr="0072132A">
        <w:rPr>
          <w:sz w:val="18"/>
          <w:szCs w:val="18"/>
          <w:lang w:val="en-US"/>
        </w:rPr>
        <w:t xml:space="preserve"> Nov 29;12:1020583. doi: 10.3389/fcimb.2022.1020583. PMID: 36523635; PMCID: PMC9745098.</w:t>
      </w:r>
    </w:p>
    <w:p w14:paraId="521EC4B3" w14:textId="77777777" w:rsidR="00A82110" w:rsidRPr="0072132A" w:rsidRDefault="00A82110" w:rsidP="0072132A">
      <w:pPr>
        <w:pStyle w:val="Testonotadichiusura"/>
        <w:jc w:val="both"/>
        <w:rPr>
          <w:lang w:val="en-US"/>
        </w:rPr>
      </w:pPr>
    </w:p>
  </w:endnote>
  <w:endnote w:id="98">
    <w:p w14:paraId="34AF3DF8" w14:textId="1EBEA99E" w:rsidR="00A82110" w:rsidRPr="0072132A" w:rsidRDefault="00A82110"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Vander Haar EL, So J, Gyamfi-Bannerman C, Han YW. </w:t>
      </w:r>
      <w:r w:rsidRPr="0072132A">
        <w:rPr>
          <w:i/>
          <w:iCs/>
          <w:sz w:val="18"/>
          <w:szCs w:val="18"/>
          <w:lang w:val="en-US"/>
        </w:rPr>
        <w:t>Fusobacterium nucleatum and adverse pregnancy outcomes: Epidemiological and mechanistic evidence. Anaerobe.</w:t>
      </w:r>
      <w:r w:rsidRPr="0072132A">
        <w:rPr>
          <w:sz w:val="18"/>
          <w:szCs w:val="18"/>
          <w:lang w:val="en-US"/>
        </w:rPr>
        <w:t xml:space="preserve"> </w:t>
      </w:r>
      <w:r w:rsidRPr="0072132A">
        <w:rPr>
          <w:b/>
          <w:bCs/>
          <w:sz w:val="18"/>
          <w:szCs w:val="18"/>
          <w:lang w:val="en-US"/>
        </w:rPr>
        <w:t xml:space="preserve">2018 </w:t>
      </w:r>
      <w:r w:rsidRPr="0072132A">
        <w:rPr>
          <w:sz w:val="18"/>
          <w:szCs w:val="18"/>
          <w:lang w:val="en-US"/>
        </w:rPr>
        <w:t>Apr;50:55-59. doi: 10.1016/j.anaerobe.2018.01.008. Epub 2018 Feb 2. PMID: 29409815; PMCID: PMC6750227.</w:t>
      </w:r>
    </w:p>
    <w:p w14:paraId="3758F46C" w14:textId="77777777" w:rsidR="00A82110" w:rsidRPr="0072132A" w:rsidRDefault="00A82110" w:rsidP="0072132A">
      <w:pPr>
        <w:pStyle w:val="Testonotadichiusura"/>
        <w:jc w:val="both"/>
        <w:rPr>
          <w:lang w:val="en-US"/>
        </w:rPr>
      </w:pPr>
    </w:p>
  </w:endnote>
  <w:endnote w:id="99">
    <w:p w14:paraId="3801C9CE" w14:textId="150FBC36" w:rsidR="00A82110" w:rsidRPr="0072132A" w:rsidRDefault="00A82110" w:rsidP="0072132A">
      <w:pPr>
        <w:pStyle w:val="Testonotadichiusura"/>
        <w:jc w:val="both"/>
        <w:rPr>
          <w:sz w:val="18"/>
          <w:szCs w:val="18"/>
          <w:lang w:val="en-US"/>
        </w:rPr>
      </w:pPr>
      <w:r w:rsidRPr="0072132A">
        <w:rPr>
          <w:rStyle w:val="Rimandonotadichiusura"/>
        </w:rPr>
        <w:endnoteRef/>
      </w:r>
      <w:r w:rsidRPr="0072132A">
        <w:t xml:space="preserve"> </w:t>
      </w:r>
      <w:r w:rsidRPr="0072132A">
        <w:rPr>
          <w:sz w:val="18"/>
          <w:szCs w:val="18"/>
        </w:rPr>
        <w:t xml:space="preserve">Galasso L, Termite F, Mignini I, Esposto G, Borriello R, Vitale F, Nicoletti A, Paratore M, Ainora ME, Gasbarrini A, Zocco MA. </w:t>
      </w:r>
      <w:r w:rsidRPr="0072132A">
        <w:rPr>
          <w:i/>
          <w:iCs/>
          <w:sz w:val="18"/>
          <w:szCs w:val="18"/>
          <w:lang w:val="en-US"/>
        </w:rPr>
        <w:t>Unraveling the Role of Fusobacterium nucleatum in Colorectal Cancer: Molecular Mechanisms and Pathogenic Insights. Cancers (Basel).</w:t>
      </w:r>
      <w:r w:rsidRPr="0072132A">
        <w:rPr>
          <w:sz w:val="18"/>
          <w:szCs w:val="18"/>
          <w:lang w:val="en-US"/>
        </w:rPr>
        <w:t xml:space="preserve"> </w:t>
      </w:r>
      <w:r w:rsidRPr="0072132A">
        <w:rPr>
          <w:b/>
          <w:bCs/>
          <w:sz w:val="18"/>
          <w:szCs w:val="18"/>
          <w:lang w:val="en-US"/>
        </w:rPr>
        <w:t>2025</w:t>
      </w:r>
      <w:r w:rsidRPr="0072132A">
        <w:rPr>
          <w:sz w:val="18"/>
          <w:szCs w:val="18"/>
          <w:lang w:val="en-US"/>
        </w:rPr>
        <w:t xml:space="preserve"> Jan 23;17(3):368. doi: 10.3390/cancers17030368. PMID: 39941737; PMCID: PMC11816155.</w:t>
      </w:r>
    </w:p>
    <w:p w14:paraId="3EF45C4E" w14:textId="77777777" w:rsidR="00A82110" w:rsidRPr="0072132A" w:rsidRDefault="00A82110" w:rsidP="0072132A">
      <w:pPr>
        <w:pStyle w:val="Testonotadichiusura"/>
        <w:jc w:val="both"/>
        <w:rPr>
          <w:lang w:val="en-US"/>
        </w:rPr>
      </w:pPr>
    </w:p>
  </w:endnote>
  <w:endnote w:id="100">
    <w:p w14:paraId="1E80F23B" w14:textId="35365619" w:rsidR="00A82110" w:rsidRPr="0072132A" w:rsidRDefault="00A82110"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Ou S, Wang H, Tao Y, Luo K, Ye J, Ran S, Guan Z, Wang Y, Hu H, Huang R. </w:t>
      </w:r>
      <w:r w:rsidRPr="0072132A">
        <w:rPr>
          <w:i/>
          <w:iCs/>
          <w:sz w:val="18"/>
          <w:szCs w:val="18"/>
          <w:lang w:val="en-US"/>
        </w:rPr>
        <w:t>Fusobacterium nucleatum and colorectal cancer: From phenomenon to mechanism. Front Cell Infect Microbiol.</w:t>
      </w:r>
      <w:r w:rsidRPr="0072132A">
        <w:rPr>
          <w:sz w:val="18"/>
          <w:szCs w:val="18"/>
          <w:lang w:val="en-US"/>
        </w:rPr>
        <w:t xml:space="preserve"> </w:t>
      </w:r>
      <w:r w:rsidRPr="0072132A">
        <w:rPr>
          <w:b/>
          <w:bCs/>
          <w:sz w:val="18"/>
          <w:szCs w:val="18"/>
          <w:lang w:val="en-US"/>
        </w:rPr>
        <w:t>2022</w:t>
      </w:r>
      <w:r w:rsidRPr="0072132A">
        <w:rPr>
          <w:sz w:val="18"/>
          <w:szCs w:val="18"/>
          <w:lang w:val="en-US"/>
        </w:rPr>
        <w:t xml:space="preserve"> Nov 29;12:1020583. doi: 10.3389/fcimb.2022.1020583. PMID: 36523635; PMCID: PMC9745098.</w:t>
      </w:r>
    </w:p>
    <w:p w14:paraId="3239C1F1" w14:textId="77777777" w:rsidR="00A82110" w:rsidRPr="0072132A" w:rsidRDefault="00A82110" w:rsidP="0072132A">
      <w:pPr>
        <w:pStyle w:val="Testonotadichiusura"/>
        <w:jc w:val="both"/>
        <w:rPr>
          <w:lang w:val="en-US"/>
        </w:rPr>
      </w:pPr>
    </w:p>
  </w:endnote>
  <w:endnote w:id="101">
    <w:p w14:paraId="1ECB8C48" w14:textId="5F312D13" w:rsidR="00A82110" w:rsidRPr="0072132A" w:rsidRDefault="00A82110"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Vander Haar EL, So J, Gyamfi-Bannerman C, Han YW. </w:t>
      </w:r>
      <w:r w:rsidRPr="0072132A">
        <w:rPr>
          <w:i/>
          <w:iCs/>
          <w:sz w:val="18"/>
          <w:szCs w:val="18"/>
          <w:lang w:val="en-US"/>
        </w:rPr>
        <w:t>Fusobacterium nucleatum and adverse pregnancy outcomes: Epidemiological and mechanistic evidence.</w:t>
      </w:r>
      <w:r w:rsidRPr="0072132A">
        <w:rPr>
          <w:sz w:val="18"/>
          <w:szCs w:val="18"/>
          <w:lang w:val="en-US"/>
        </w:rPr>
        <w:t xml:space="preserve"> Anaerobe. </w:t>
      </w:r>
      <w:r w:rsidRPr="0072132A">
        <w:rPr>
          <w:b/>
          <w:bCs/>
          <w:sz w:val="18"/>
          <w:szCs w:val="18"/>
          <w:lang w:val="en-US"/>
        </w:rPr>
        <w:t xml:space="preserve">2018 </w:t>
      </w:r>
      <w:r w:rsidRPr="0072132A">
        <w:rPr>
          <w:sz w:val="18"/>
          <w:szCs w:val="18"/>
          <w:lang w:val="en-US"/>
        </w:rPr>
        <w:t>Apr;50:55-59. doi: 10.1016/j.anaerobe.2018.01.008. Epub 2018 Feb 2. PMID: 29409815; PMCID: PMC6750227.</w:t>
      </w:r>
    </w:p>
    <w:p w14:paraId="1CC0824B" w14:textId="77777777" w:rsidR="00A82110" w:rsidRPr="0072132A" w:rsidRDefault="00A82110" w:rsidP="0072132A">
      <w:pPr>
        <w:pStyle w:val="Testonotadichiusura"/>
        <w:jc w:val="both"/>
        <w:rPr>
          <w:lang w:val="en-US"/>
        </w:rPr>
      </w:pPr>
    </w:p>
  </w:endnote>
  <w:endnote w:id="102">
    <w:p w14:paraId="5ED17573" w14:textId="0A320D9B" w:rsidR="00A82110" w:rsidRPr="0072132A" w:rsidRDefault="00A82110"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Muraoka A, Suzuki M, Hamaguchi T, Watanabe S, Iijima K, Murofushi Y, Shinjo K, Osuka S, Hariyama Y, Ito M, Ohno K, Kiyono T, Kyo S, Iwase A, Kikkawa F, Kajiyama H, Kondo Y. </w:t>
      </w:r>
      <w:r w:rsidRPr="0072132A">
        <w:rPr>
          <w:i/>
          <w:iCs/>
          <w:sz w:val="18"/>
          <w:szCs w:val="18"/>
          <w:lang w:val="en-US"/>
        </w:rPr>
        <w:t>Fusobacterium infection facilitates the development of endometriosis through the phenotypic transition of endometrial fibroblasts</w:t>
      </w:r>
      <w:r w:rsidRPr="0072132A">
        <w:rPr>
          <w:sz w:val="18"/>
          <w:szCs w:val="18"/>
          <w:lang w:val="en-US"/>
        </w:rPr>
        <w:t xml:space="preserve">. Sci Transl Med. </w:t>
      </w:r>
      <w:r w:rsidRPr="0072132A">
        <w:rPr>
          <w:b/>
          <w:bCs/>
          <w:sz w:val="18"/>
          <w:szCs w:val="18"/>
          <w:lang w:val="en-US"/>
        </w:rPr>
        <w:t>2023</w:t>
      </w:r>
      <w:r w:rsidRPr="0072132A">
        <w:rPr>
          <w:sz w:val="18"/>
          <w:szCs w:val="18"/>
          <w:lang w:val="en-US"/>
        </w:rPr>
        <w:t xml:space="preserve"> Jun 14;15(700):eadd1531. doi: 10.1126/scitranslmed.add1531. Epub 2023 Jun 14. PMID: 37315109.</w:t>
      </w:r>
    </w:p>
    <w:p w14:paraId="20357384" w14:textId="77777777" w:rsidR="00A82110" w:rsidRPr="0072132A" w:rsidRDefault="00A82110" w:rsidP="0072132A">
      <w:pPr>
        <w:pStyle w:val="Testonotadichiusura"/>
        <w:jc w:val="both"/>
        <w:rPr>
          <w:lang w:val="en-US"/>
        </w:rPr>
      </w:pPr>
    </w:p>
  </w:endnote>
  <w:endnote w:id="103">
    <w:p w14:paraId="6509765F" w14:textId="576026EF" w:rsidR="00A82110" w:rsidRPr="0072132A" w:rsidRDefault="00A82110" w:rsidP="0072132A">
      <w:pPr>
        <w:pStyle w:val="Testonotadichiusura"/>
        <w:jc w:val="both"/>
        <w:rPr>
          <w:lang w:val="en-US"/>
        </w:rPr>
      </w:pPr>
      <w:r w:rsidRPr="0072132A">
        <w:rPr>
          <w:rStyle w:val="Rimandonotadichiusura"/>
        </w:rPr>
        <w:endnoteRef/>
      </w:r>
      <w:r w:rsidRPr="0072132A">
        <w:rPr>
          <w:lang w:val="en-US"/>
        </w:rPr>
        <w:t xml:space="preserve"> </w:t>
      </w:r>
      <w:r w:rsidRPr="0072132A">
        <w:rPr>
          <w:sz w:val="18"/>
          <w:szCs w:val="18"/>
          <w:lang w:val="en-US"/>
        </w:rPr>
        <w:t xml:space="preserve">Ju S, Kang ZY, Yang LY, Xia YJ, Guo YM, Li S, Yan H, Qi MK, Wang HP, Zhong L. </w:t>
      </w:r>
      <w:r w:rsidRPr="0072132A">
        <w:rPr>
          <w:i/>
          <w:iCs/>
          <w:sz w:val="18"/>
          <w:szCs w:val="18"/>
          <w:lang w:val="en-US"/>
        </w:rPr>
        <w:t>Gut microbiota and ovarian diseases: a new therapeutic perspective.</w:t>
      </w:r>
      <w:r w:rsidRPr="0072132A">
        <w:rPr>
          <w:sz w:val="18"/>
          <w:szCs w:val="18"/>
          <w:lang w:val="en-US"/>
        </w:rPr>
        <w:t xml:space="preserve"> J Ovarian Res. </w:t>
      </w:r>
      <w:r w:rsidRPr="0072132A">
        <w:rPr>
          <w:b/>
          <w:bCs/>
          <w:sz w:val="18"/>
          <w:szCs w:val="18"/>
          <w:lang w:val="en-US"/>
        </w:rPr>
        <w:t>2025</w:t>
      </w:r>
      <w:r w:rsidRPr="0072132A">
        <w:rPr>
          <w:sz w:val="18"/>
          <w:szCs w:val="18"/>
          <w:lang w:val="en-US"/>
        </w:rPr>
        <w:t xml:space="preserve"> May 21;18(1):105. doi: 10.1186/s13048-025-01684-5. PMID: 40399985; PMCID: PMC12093725.</w:t>
      </w:r>
    </w:p>
    <w:p w14:paraId="415830C4" w14:textId="77777777" w:rsidR="00A82110" w:rsidRPr="009A1778" w:rsidRDefault="00A82110" w:rsidP="0072132A">
      <w:pPr>
        <w:pStyle w:val="Testonotadichiusura"/>
        <w:jc w:val="both"/>
        <w:rPr>
          <w:sz w:val="18"/>
          <w:szCs w:val="18"/>
          <w:lang w:val="en-US"/>
        </w:rPr>
      </w:pPr>
    </w:p>
  </w:endnote>
  <w:endnote w:id="104">
    <w:p w14:paraId="29A6D650" w14:textId="77777777" w:rsidR="00595ACA" w:rsidRPr="009A1778" w:rsidRDefault="00595ACA" w:rsidP="005F22B2">
      <w:pPr>
        <w:pStyle w:val="Testonotadichiusura"/>
        <w:jc w:val="both"/>
        <w:rPr>
          <w:sz w:val="18"/>
          <w:szCs w:val="18"/>
          <w:lang w:val="en-US"/>
        </w:rPr>
      </w:pPr>
      <w:r w:rsidRPr="009A1778">
        <w:rPr>
          <w:rStyle w:val="Rimandonotadichiusura"/>
          <w:sz w:val="18"/>
          <w:szCs w:val="18"/>
        </w:rPr>
        <w:endnoteRef/>
      </w:r>
      <w:r w:rsidRPr="009A1778">
        <w:rPr>
          <w:sz w:val="18"/>
          <w:szCs w:val="18"/>
          <w:lang w:val="en-US"/>
        </w:rPr>
        <w:t xml:space="preserve"> Kwack KH, Jang EY, Yang SB, Lee JH, Moon JH. </w:t>
      </w:r>
      <w:r w:rsidRPr="009A1778">
        <w:rPr>
          <w:i/>
          <w:iCs/>
          <w:sz w:val="18"/>
          <w:szCs w:val="18"/>
          <w:lang w:val="en-US"/>
        </w:rPr>
        <w:t>Genomic and phenotypic comparison of Prevotella intermedia strains possessing different virulence in vivo.</w:t>
      </w:r>
      <w:r w:rsidRPr="009A1778">
        <w:rPr>
          <w:sz w:val="18"/>
          <w:szCs w:val="18"/>
          <w:lang w:val="en-US"/>
        </w:rPr>
        <w:t xml:space="preserve"> Virulence. </w:t>
      </w:r>
      <w:r w:rsidRPr="009A1778">
        <w:rPr>
          <w:b/>
          <w:bCs/>
          <w:sz w:val="18"/>
          <w:szCs w:val="18"/>
          <w:lang w:val="en-US"/>
        </w:rPr>
        <w:t>2022</w:t>
      </w:r>
      <w:r w:rsidRPr="009A1778">
        <w:rPr>
          <w:sz w:val="18"/>
          <w:szCs w:val="18"/>
          <w:lang w:val="en-US"/>
        </w:rPr>
        <w:t xml:space="preserve"> Dec;13(1):1133-1145. doi: 10.1080/21505594.2022.2095718. PMID: 35791444; PMCID: PMC9262359.</w:t>
      </w:r>
    </w:p>
    <w:p w14:paraId="0F45FC32" w14:textId="2CF81376" w:rsidR="00595ACA" w:rsidRPr="00595ACA" w:rsidRDefault="00595ACA" w:rsidP="005F22B2">
      <w:pPr>
        <w:pStyle w:val="Testonotadichiusura"/>
        <w:jc w:val="both"/>
        <w:rPr>
          <w:lang w:val="en-US"/>
        </w:rPr>
      </w:pPr>
    </w:p>
  </w:endnote>
  <w:endnote w:id="105">
    <w:p w14:paraId="658FFF03" w14:textId="6C84DD30" w:rsidR="003E1EB3" w:rsidRDefault="003E1EB3" w:rsidP="005F22B2">
      <w:pPr>
        <w:pStyle w:val="Testonotadichiusura"/>
        <w:jc w:val="both"/>
        <w:rPr>
          <w:sz w:val="18"/>
          <w:szCs w:val="18"/>
          <w:lang w:val="en-US"/>
        </w:rPr>
      </w:pPr>
      <w:r>
        <w:rPr>
          <w:rStyle w:val="Rimandonotadichiusura"/>
        </w:rPr>
        <w:endnoteRef/>
      </w:r>
      <w:r w:rsidRPr="003E1EB3">
        <w:rPr>
          <w:lang w:val="en-US"/>
        </w:rPr>
        <w:t xml:space="preserve"> </w:t>
      </w:r>
      <w:r w:rsidRPr="00D952AE">
        <w:rPr>
          <w:sz w:val="18"/>
          <w:szCs w:val="18"/>
          <w:lang w:val="en-US"/>
        </w:rPr>
        <w:t xml:space="preserve">Naito M, Ogura Y, Itoh T, Shoji M, Okamoto M, Hayashi T, Nakayama K. </w:t>
      </w:r>
      <w:r w:rsidRPr="00D952AE">
        <w:rPr>
          <w:i/>
          <w:iCs/>
          <w:sz w:val="18"/>
          <w:szCs w:val="18"/>
          <w:lang w:val="en-US"/>
        </w:rPr>
        <w:t>The complete genome sequencing of Prevotella intermedia strain OMA14 and a subsequent fine-scale, intra-species genomic comparison reveal an unusual amplification of conjugative and mobile transposons and identify a novel Prevotella-lineage-specific repeat.</w:t>
      </w:r>
      <w:r w:rsidRPr="00D952AE">
        <w:rPr>
          <w:sz w:val="18"/>
          <w:szCs w:val="18"/>
          <w:lang w:val="en-US"/>
        </w:rPr>
        <w:t xml:space="preserve"> DNA Res. </w:t>
      </w:r>
      <w:r w:rsidRPr="00D952AE">
        <w:rPr>
          <w:b/>
          <w:bCs/>
          <w:sz w:val="18"/>
          <w:szCs w:val="18"/>
          <w:lang w:val="en-US"/>
        </w:rPr>
        <w:t>2016</w:t>
      </w:r>
      <w:r w:rsidRPr="00D952AE">
        <w:rPr>
          <w:sz w:val="18"/>
          <w:szCs w:val="18"/>
          <w:lang w:val="en-US"/>
        </w:rPr>
        <w:t xml:space="preserve"> Feb;23(1):11-9. doi: 10.1093/dnares/dsv032. Epub 2015 Dec 8. PMID: 26645327; PMCID: PMC4755523.</w:t>
      </w:r>
    </w:p>
    <w:p w14:paraId="27CCF31A" w14:textId="77777777" w:rsidR="003E1EB3" w:rsidRPr="003E1EB3" w:rsidRDefault="003E1EB3" w:rsidP="005F22B2">
      <w:pPr>
        <w:pStyle w:val="Testonotadichiusura"/>
        <w:jc w:val="both"/>
        <w:rPr>
          <w:lang w:val="en-US"/>
        </w:rPr>
      </w:pPr>
    </w:p>
  </w:endnote>
  <w:endnote w:id="106">
    <w:p w14:paraId="36CB20DA" w14:textId="77777777" w:rsidR="009564D1" w:rsidRPr="00D952AE" w:rsidRDefault="009564D1" w:rsidP="005F22B2">
      <w:pPr>
        <w:pStyle w:val="Testonotadichiusura"/>
        <w:jc w:val="both"/>
        <w:rPr>
          <w:sz w:val="18"/>
          <w:szCs w:val="18"/>
          <w:lang w:val="en-US"/>
        </w:rPr>
      </w:pPr>
      <w:r>
        <w:rPr>
          <w:rStyle w:val="Rimandonotadichiusura"/>
        </w:rPr>
        <w:endnoteRef/>
      </w:r>
      <w:r w:rsidRPr="009564D1">
        <w:rPr>
          <w:lang w:val="en-US"/>
        </w:rPr>
        <w:t xml:space="preserve"> </w:t>
      </w:r>
      <w:r w:rsidRPr="00D952AE">
        <w:rPr>
          <w:sz w:val="18"/>
          <w:szCs w:val="18"/>
          <w:lang w:val="en-US"/>
        </w:rPr>
        <w:t>Könönen E, Fteita D, Gursoy UK, Gursoy M. </w:t>
      </w:r>
      <w:r w:rsidRPr="00D952AE">
        <w:rPr>
          <w:i/>
          <w:iCs/>
          <w:sz w:val="18"/>
          <w:szCs w:val="18"/>
          <w:lang w:val="en-US"/>
        </w:rPr>
        <w:t xml:space="preserve">Prevotella species as oral residents and infectious agents with potential impact on systemic conditions. </w:t>
      </w:r>
      <w:r w:rsidRPr="00D952AE">
        <w:rPr>
          <w:sz w:val="18"/>
          <w:szCs w:val="18"/>
          <w:lang w:val="en-US"/>
        </w:rPr>
        <w:t xml:space="preserve">J Oral Microbiol. </w:t>
      </w:r>
      <w:r w:rsidRPr="00D952AE">
        <w:rPr>
          <w:b/>
          <w:bCs/>
          <w:sz w:val="18"/>
          <w:szCs w:val="18"/>
          <w:lang w:val="en-US"/>
        </w:rPr>
        <w:t>2022</w:t>
      </w:r>
      <w:r w:rsidRPr="00D952AE">
        <w:rPr>
          <w:sz w:val="18"/>
          <w:szCs w:val="18"/>
          <w:lang w:val="en-US"/>
        </w:rPr>
        <w:t xml:space="preserve"> May 26;14(1):2079814. doi: 10.1080/20002297.2022.2079814. PMID: 36393976; PMCID: PMC9662046.</w:t>
      </w:r>
    </w:p>
    <w:p w14:paraId="6C3A065D" w14:textId="29B81F57" w:rsidR="009564D1" w:rsidRPr="009564D1" w:rsidRDefault="009564D1" w:rsidP="005F22B2">
      <w:pPr>
        <w:pStyle w:val="Testonotadichiusura"/>
        <w:jc w:val="both"/>
        <w:rPr>
          <w:lang w:val="en-US"/>
        </w:rPr>
      </w:pPr>
    </w:p>
  </w:endnote>
  <w:endnote w:id="107">
    <w:p w14:paraId="0C13FBCA" w14:textId="415F645E" w:rsidR="00797F6C" w:rsidRDefault="00797F6C" w:rsidP="005F22B2">
      <w:pPr>
        <w:pStyle w:val="Testonotadichiusura"/>
        <w:jc w:val="both"/>
        <w:rPr>
          <w:sz w:val="18"/>
          <w:szCs w:val="18"/>
          <w:lang w:val="en-US"/>
        </w:rPr>
      </w:pPr>
      <w:r>
        <w:rPr>
          <w:rStyle w:val="Rimandonotadichiusura"/>
        </w:rPr>
        <w:endnoteRef/>
      </w:r>
      <w:r w:rsidRPr="00797F6C">
        <w:rPr>
          <w:lang w:val="en-US"/>
        </w:rPr>
        <w:t xml:space="preserve"> </w:t>
      </w:r>
      <w:r w:rsidRPr="00D952AE">
        <w:rPr>
          <w:sz w:val="18"/>
          <w:szCs w:val="18"/>
          <w:lang w:val="en-US"/>
        </w:rPr>
        <w:t xml:space="preserve">Byrne DP, Wawrzonek K, Jaworska A, Birss AJ, Potempa J, Smalley JW. </w:t>
      </w:r>
      <w:r w:rsidRPr="00D952AE">
        <w:rPr>
          <w:i/>
          <w:iCs/>
          <w:sz w:val="18"/>
          <w:szCs w:val="18"/>
          <w:lang w:val="en-US"/>
        </w:rPr>
        <w:t xml:space="preserve">Role of the cysteine protease interpain A of Prevotella intermedia in breakdown and release of haem from haemoglobin. </w:t>
      </w:r>
      <w:r w:rsidRPr="00D952AE">
        <w:rPr>
          <w:sz w:val="18"/>
          <w:szCs w:val="18"/>
          <w:lang w:val="en-US"/>
        </w:rPr>
        <w:t xml:space="preserve">Biochem J. </w:t>
      </w:r>
      <w:r w:rsidRPr="00D952AE">
        <w:rPr>
          <w:b/>
          <w:bCs/>
          <w:sz w:val="18"/>
          <w:szCs w:val="18"/>
          <w:lang w:val="en-US"/>
        </w:rPr>
        <w:t xml:space="preserve">2009 </w:t>
      </w:r>
      <w:r w:rsidRPr="00D952AE">
        <w:rPr>
          <w:sz w:val="18"/>
          <w:szCs w:val="18"/>
          <w:lang w:val="en-US"/>
        </w:rPr>
        <w:t>Dec 14;425(1):257-64. doi: 10.1042/BJ20090343. PMID: 19814715; PMCID: PMC2882103</w:t>
      </w:r>
      <w:r>
        <w:rPr>
          <w:sz w:val="18"/>
          <w:szCs w:val="18"/>
          <w:lang w:val="en-US"/>
        </w:rPr>
        <w:t>.</w:t>
      </w:r>
    </w:p>
    <w:p w14:paraId="4FEA15AF" w14:textId="77777777" w:rsidR="00797F6C" w:rsidRPr="00797F6C" w:rsidRDefault="00797F6C">
      <w:pPr>
        <w:pStyle w:val="Testonotadichiusura"/>
        <w:rPr>
          <w:lang w:val="en-US"/>
        </w:rPr>
      </w:pPr>
    </w:p>
  </w:endnote>
  <w:endnote w:id="108">
    <w:p w14:paraId="51175EEC" w14:textId="77777777" w:rsidR="00797F6C" w:rsidRPr="00D952AE" w:rsidRDefault="00797F6C" w:rsidP="005F22B2">
      <w:pPr>
        <w:pStyle w:val="Testonotadichiusura"/>
        <w:jc w:val="both"/>
        <w:rPr>
          <w:sz w:val="18"/>
          <w:szCs w:val="18"/>
          <w:lang w:val="en-US"/>
        </w:rPr>
      </w:pPr>
      <w:r>
        <w:rPr>
          <w:rStyle w:val="Rimandonotadichiusura"/>
        </w:rPr>
        <w:endnoteRef/>
      </w:r>
      <w:r w:rsidRPr="00797F6C">
        <w:rPr>
          <w:lang w:val="en-US"/>
        </w:rPr>
        <w:t xml:space="preserve"> </w:t>
      </w:r>
      <w:r w:rsidRPr="00D952AE">
        <w:rPr>
          <w:sz w:val="18"/>
          <w:szCs w:val="18"/>
          <w:lang w:val="en-US"/>
        </w:rPr>
        <w:t>Jang E, Kim M, Noh MH, Moon J, Lee J.  </w:t>
      </w:r>
      <w:r w:rsidRPr="00D952AE">
        <w:rPr>
          <w:i/>
          <w:iCs/>
          <w:sz w:val="18"/>
          <w:szCs w:val="18"/>
          <w:lang w:val="en-US"/>
        </w:rPr>
        <w:t xml:space="preserve">In Vitro Effects of Polyphosphate against Prevotella intermedia in Planktonic Phase and Biofilm. </w:t>
      </w:r>
      <w:r w:rsidRPr="00D952AE">
        <w:rPr>
          <w:sz w:val="18"/>
          <w:szCs w:val="18"/>
          <w:lang w:val="en-US"/>
        </w:rPr>
        <w:t>Antimicrob Agents Chemother 60:.</w:t>
      </w:r>
      <w:r w:rsidRPr="00D952AE">
        <w:rPr>
          <w:b/>
          <w:bCs/>
          <w:sz w:val="18"/>
          <w:szCs w:val="18"/>
          <w:lang w:val="en-US"/>
        </w:rPr>
        <w:t xml:space="preserve"> 2016</w:t>
      </w:r>
      <w:r>
        <w:rPr>
          <w:sz w:val="18"/>
          <w:szCs w:val="18"/>
          <w:lang w:val="en-US"/>
        </w:rPr>
        <w:t xml:space="preserve"> </w:t>
      </w:r>
      <w:r>
        <w:fldChar w:fldCharType="begin"/>
      </w:r>
      <w:r w:rsidRPr="009F2082">
        <w:rPr>
          <w:lang w:val="en-US"/>
        </w:rPr>
        <w:instrText>HYPERLINK "https://doi.org/10.1128/aac.01861-15"</w:instrText>
      </w:r>
      <w:r>
        <w:fldChar w:fldCharType="separate"/>
      </w:r>
      <w:r w:rsidRPr="00D67DAF">
        <w:rPr>
          <w:rStyle w:val="Collegamentoipertestuale"/>
          <w:sz w:val="18"/>
          <w:szCs w:val="18"/>
          <w:lang w:val="en-US"/>
        </w:rPr>
        <w:t>https://doi.org/10.1128/aac.01861-15</w:t>
      </w:r>
      <w:r>
        <w:rPr>
          <w:rStyle w:val="Collegamentoipertestuale"/>
          <w:sz w:val="18"/>
          <w:szCs w:val="18"/>
          <w:lang w:val="en-US"/>
        </w:rPr>
        <w:fldChar w:fldCharType="end"/>
      </w:r>
    </w:p>
    <w:p w14:paraId="39AC6A65" w14:textId="08A16AB1" w:rsidR="00797F6C" w:rsidRPr="00797F6C" w:rsidRDefault="00797F6C" w:rsidP="005F22B2">
      <w:pPr>
        <w:pStyle w:val="Testonotadichiusura"/>
        <w:jc w:val="both"/>
        <w:rPr>
          <w:lang w:val="en-US"/>
        </w:rPr>
      </w:pPr>
    </w:p>
  </w:endnote>
  <w:endnote w:id="109">
    <w:p w14:paraId="7E913920" w14:textId="5B7F7453" w:rsidR="00797F6C" w:rsidRPr="005F1689" w:rsidRDefault="00797F6C" w:rsidP="005F22B2">
      <w:pPr>
        <w:pStyle w:val="Testonotadichiusura"/>
        <w:jc w:val="both"/>
        <w:rPr>
          <w:rStyle w:val="Collegamentoipertestuale"/>
          <w:sz w:val="18"/>
          <w:szCs w:val="18"/>
          <w:lang w:val="en-US"/>
        </w:rPr>
      </w:pPr>
      <w:r>
        <w:rPr>
          <w:rStyle w:val="Rimandonotadichiusura"/>
        </w:rPr>
        <w:endnoteRef/>
      </w:r>
      <w:r w:rsidRPr="00797F6C">
        <w:rPr>
          <w:lang w:val="en-US"/>
        </w:rPr>
        <w:t xml:space="preserve"> </w:t>
      </w:r>
      <w:r w:rsidRPr="00D952AE">
        <w:rPr>
          <w:sz w:val="18"/>
          <w:szCs w:val="18"/>
          <w:lang w:val="en-US"/>
        </w:rPr>
        <w:t xml:space="preserve">Zhang, S., Zhao, Y., Lalsiamthara, J., Peng, Y., Qi, L., Deng, S., &amp; Wang, Q. </w:t>
      </w:r>
      <w:r w:rsidRPr="00D952AE">
        <w:rPr>
          <w:b/>
          <w:bCs/>
          <w:sz w:val="18"/>
          <w:szCs w:val="18"/>
          <w:lang w:val="en-US"/>
        </w:rPr>
        <w:t>2025</w:t>
      </w:r>
      <w:r w:rsidRPr="00D952AE">
        <w:rPr>
          <w:sz w:val="18"/>
          <w:szCs w:val="18"/>
          <w:lang w:val="en-US"/>
        </w:rPr>
        <w:t xml:space="preserve">. </w:t>
      </w:r>
      <w:r w:rsidRPr="00D952AE">
        <w:rPr>
          <w:i/>
          <w:iCs/>
          <w:sz w:val="18"/>
          <w:szCs w:val="18"/>
          <w:lang w:val="en-US"/>
        </w:rPr>
        <w:t>Current research progress on Prevotella intermedia and associated diseases. Critical Reviews in Microbiology, 51</w:t>
      </w:r>
      <w:r w:rsidRPr="00D952AE">
        <w:rPr>
          <w:sz w:val="18"/>
          <w:szCs w:val="18"/>
          <w:lang w:val="en-US"/>
        </w:rPr>
        <w:t xml:space="preserve">(4), 545–562. </w:t>
      </w:r>
      <w:r>
        <w:fldChar w:fldCharType="begin"/>
      </w:r>
      <w:r w:rsidRPr="009F2082">
        <w:rPr>
          <w:lang w:val="en-US"/>
        </w:rPr>
        <w:instrText>HYPERLINK "https://doi.org/10.1080/1040841X.2024.2390594"</w:instrText>
      </w:r>
      <w:r>
        <w:fldChar w:fldCharType="separate"/>
      </w:r>
      <w:r w:rsidRPr="005F1689">
        <w:rPr>
          <w:rStyle w:val="Collegamentoipertestuale"/>
          <w:sz w:val="18"/>
          <w:szCs w:val="18"/>
          <w:lang w:val="en-US"/>
        </w:rPr>
        <w:t>https://doi.org/10.1080/1040841X.2024.2390594</w:t>
      </w:r>
      <w:r>
        <w:rPr>
          <w:rStyle w:val="Collegamentoipertestuale"/>
          <w:sz w:val="18"/>
          <w:szCs w:val="18"/>
          <w:lang w:val="en-US"/>
        </w:rPr>
        <w:fldChar w:fldCharType="end"/>
      </w:r>
    </w:p>
    <w:p w14:paraId="0FCD0B29" w14:textId="77777777" w:rsidR="00797F6C" w:rsidRPr="005F1689" w:rsidRDefault="00797F6C" w:rsidP="005F22B2">
      <w:pPr>
        <w:pStyle w:val="Testonotadichiusura"/>
        <w:jc w:val="both"/>
        <w:rPr>
          <w:lang w:val="en-US"/>
        </w:rPr>
      </w:pPr>
    </w:p>
  </w:endnote>
  <w:endnote w:id="110">
    <w:p w14:paraId="5604DA38" w14:textId="2D143E8D" w:rsidR="00B51F4D" w:rsidRPr="00B51F4D" w:rsidRDefault="00B51F4D" w:rsidP="005F22B2">
      <w:pPr>
        <w:pStyle w:val="Testonotadichiusura"/>
        <w:jc w:val="both"/>
        <w:rPr>
          <w:lang w:val="en-US"/>
        </w:rPr>
      </w:pPr>
      <w:r>
        <w:rPr>
          <w:rStyle w:val="Rimandonotadichiusura"/>
        </w:rPr>
        <w:endnoteRef/>
      </w:r>
      <w:r w:rsidRPr="00B51F4D">
        <w:rPr>
          <w:lang w:val="en-US"/>
        </w:rPr>
        <w:t xml:space="preserve"> </w:t>
      </w:r>
      <w:r w:rsidRPr="00B51F4D">
        <w:rPr>
          <w:sz w:val="18"/>
          <w:szCs w:val="18"/>
          <w:lang w:val="en-US"/>
        </w:rPr>
        <w:t>Könönen E, Fteita D, Gursoy UK, Gursoy M. </w:t>
      </w:r>
      <w:r w:rsidRPr="00B51F4D">
        <w:rPr>
          <w:i/>
          <w:iCs/>
          <w:sz w:val="18"/>
          <w:szCs w:val="18"/>
          <w:lang w:val="en-US"/>
        </w:rPr>
        <w:t>Prevotella</w:t>
      </w:r>
      <w:r w:rsidRPr="00B51F4D">
        <w:rPr>
          <w:sz w:val="18"/>
          <w:szCs w:val="18"/>
          <w:lang w:val="en-US"/>
        </w:rPr>
        <w:t xml:space="preserve"> species as oral residents and infectious agents with potential impact on systemic conditions. J Oral Microbiol. </w:t>
      </w:r>
      <w:r w:rsidRPr="00B51F4D">
        <w:rPr>
          <w:b/>
          <w:bCs/>
          <w:sz w:val="18"/>
          <w:szCs w:val="18"/>
          <w:lang w:val="en-US"/>
        </w:rPr>
        <w:t>2022</w:t>
      </w:r>
      <w:r w:rsidRPr="00B51F4D">
        <w:rPr>
          <w:sz w:val="18"/>
          <w:szCs w:val="18"/>
          <w:lang w:val="en-US"/>
        </w:rPr>
        <w:t xml:space="preserve"> May 26;14(1):2079814. doi: 10.1080/20002297.2022.2079814. PMID: 36393976; PMCID: PMC9662046.</w:t>
      </w:r>
    </w:p>
    <w:p w14:paraId="3846FE68" w14:textId="77777777" w:rsidR="00B51F4D" w:rsidRPr="00B51F4D" w:rsidRDefault="00B51F4D" w:rsidP="005F22B2">
      <w:pPr>
        <w:pStyle w:val="Testonotadichiusura"/>
        <w:jc w:val="both"/>
        <w:rPr>
          <w:lang w:val="en-US"/>
        </w:rPr>
      </w:pPr>
    </w:p>
  </w:endnote>
  <w:endnote w:id="111">
    <w:p w14:paraId="69592781" w14:textId="77777777" w:rsidR="004214E0" w:rsidRPr="003F5018" w:rsidRDefault="004214E0" w:rsidP="005F22B2">
      <w:pPr>
        <w:pStyle w:val="Testonotadichiusura"/>
        <w:jc w:val="both"/>
        <w:rPr>
          <w:sz w:val="18"/>
          <w:szCs w:val="18"/>
          <w:lang w:val="en-US"/>
        </w:rPr>
      </w:pPr>
      <w:r>
        <w:rPr>
          <w:rStyle w:val="Rimandonotadichiusura"/>
        </w:rPr>
        <w:endnoteRef/>
      </w:r>
      <w:r w:rsidRPr="00B51F4D">
        <w:rPr>
          <w:lang w:val="en-US"/>
        </w:rPr>
        <w:t xml:space="preserve"> </w:t>
      </w:r>
      <w:r w:rsidRPr="00B51F4D">
        <w:rPr>
          <w:sz w:val="18"/>
          <w:szCs w:val="18"/>
          <w:lang w:val="en-US"/>
        </w:rPr>
        <w:t xml:space="preserve">Byrne DP, Wawrzonek K, Jaworska A, Birss AJ, Potempa J, Smalley JW. </w:t>
      </w:r>
      <w:r w:rsidRPr="003F5018">
        <w:rPr>
          <w:i/>
          <w:iCs/>
          <w:sz w:val="18"/>
          <w:szCs w:val="18"/>
          <w:lang w:val="en-US"/>
        </w:rPr>
        <w:t>Role of the cysteine protease interpain A of Prevotella intermedia in breakdown and release of haem from haemoglobin</w:t>
      </w:r>
      <w:r w:rsidRPr="003F5018">
        <w:rPr>
          <w:sz w:val="18"/>
          <w:szCs w:val="18"/>
          <w:lang w:val="en-US"/>
        </w:rPr>
        <w:t xml:space="preserve">. Biochem J. </w:t>
      </w:r>
      <w:r w:rsidRPr="003F5018">
        <w:rPr>
          <w:b/>
          <w:bCs/>
          <w:sz w:val="18"/>
          <w:szCs w:val="18"/>
          <w:lang w:val="en-US"/>
        </w:rPr>
        <w:t>2009</w:t>
      </w:r>
      <w:r w:rsidRPr="003F5018">
        <w:rPr>
          <w:sz w:val="18"/>
          <w:szCs w:val="18"/>
          <w:lang w:val="en-US"/>
        </w:rPr>
        <w:t xml:space="preserve"> Dec 14;425(1):257-64. doi: 10.1042/BJ20090343. PMID: 19814715; PMCID: PMC2882103.</w:t>
      </w:r>
    </w:p>
    <w:p w14:paraId="3F2A0EC2" w14:textId="1C4D7AC0" w:rsidR="004214E0" w:rsidRPr="004214E0" w:rsidRDefault="004214E0">
      <w:pPr>
        <w:pStyle w:val="Testonotadichiusura"/>
        <w:rPr>
          <w:lang w:val="en-US"/>
        </w:rPr>
      </w:pPr>
    </w:p>
  </w:endnote>
  <w:endnote w:id="112">
    <w:p w14:paraId="3624F861" w14:textId="0F901B28" w:rsidR="004214E0" w:rsidRDefault="004214E0" w:rsidP="004214E0">
      <w:pPr>
        <w:pStyle w:val="Testonotadichiusura"/>
        <w:jc w:val="both"/>
        <w:rPr>
          <w:sz w:val="18"/>
          <w:szCs w:val="18"/>
        </w:rPr>
      </w:pPr>
      <w:r>
        <w:rPr>
          <w:rStyle w:val="Rimandonotadichiusura"/>
        </w:rPr>
        <w:endnoteRef/>
      </w:r>
      <w:r w:rsidRPr="004214E0">
        <w:rPr>
          <w:lang w:val="en-US"/>
        </w:rPr>
        <w:t xml:space="preserve"> </w:t>
      </w:r>
      <w:r w:rsidRPr="003F5018">
        <w:rPr>
          <w:sz w:val="18"/>
          <w:szCs w:val="18"/>
          <w:lang w:val="en-US"/>
        </w:rPr>
        <w:t xml:space="preserve">Potempa M, Potempa J, Kantyka T, Nguyen KA, Wawrzonek K, Manandhar SP, Popadiak K, Riesbeck K, Eick S, Blom AM. </w:t>
      </w:r>
      <w:r w:rsidRPr="003F5018">
        <w:rPr>
          <w:i/>
          <w:iCs/>
          <w:sz w:val="18"/>
          <w:szCs w:val="18"/>
          <w:lang w:val="en-US"/>
        </w:rPr>
        <w:t>Interpain A, a cysteine proteinase from Prevotella intermedia, inhibits complement by degrading complement factor C3</w:t>
      </w:r>
      <w:r w:rsidRPr="003F5018">
        <w:rPr>
          <w:sz w:val="18"/>
          <w:szCs w:val="18"/>
          <w:lang w:val="en-US"/>
        </w:rPr>
        <w:t xml:space="preserve">. PLoS Pathog. </w:t>
      </w:r>
      <w:r w:rsidRPr="003F5018">
        <w:rPr>
          <w:b/>
          <w:bCs/>
          <w:sz w:val="18"/>
          <w:szCs w:val="18"/>
          <w:lang w:val="en-US"/>
        </w:rPr>
        <w:t xml:space="preserve">2009 </w:t>
      </w:r>
      <w:r w:rsidRPr="003F5018">
        <w:rPr>
          <w:sz w:val="18"/>
          <w:szCs w:val="18"/>
          <w:lang w:val="en-US"/>
        </w:rPr>
        <w:t xml:space="preserve">Feb;5(2):e1000316. doi: 10.1371/journal.ppat.1000316. Epub 2009 Feb 27. Erratum in: PLoS Pathog. </w:t>
      </w:r>
      <w:r w:rsidRPr="003F5018">
        <w:rPr>
          <w:sz w:val="18"/>
          <w:szCs w:val="18"/>
        </w:rPr>
        <w:t>2009 Mar;5(3). doi: 10.1371/annotation/e82f810e-738a-47e5-9295-5a0cc9a0dc6c. PMID: 19247445; PMCID: PMC2642729.</w:t>
      </w:r>
    </w:p>
    <w:p w14:paraId="05C77DAB" w14:textId="77777777" w:rsidR="004214E0" w:rsidRPr="004214E0" w:rsidRDefault="004214E0">
      <w:pPr>
        <w:pStyle w:val="Testonotadichiusura"/>
      </w:pPr>
    </w:p>
  </w:endnote>
  <w:endnote w:id="113">
    <w:p w14:paraId="17DB9BDC" w14:textId="2052645C" w:rsidR="00134393" w:rsidRDefault="00134393" w:rsidP="00134393">
      <w:pPr>
        <w:pStyle w:val="Testonotadichiusura"/>
        <w:jc w:val="both"/>
        <w:rPr>
          <w:rStyle w:val="Collegamentoipertestuale"/>
          <w:sz w:val="18"/>
          <w:szCs w:val="18"/>
          <w:lang w:val="en-US"/>
        </w:rPr>
      </w:pPr>
      <w:r>
        <w:rPr>
          <w:rStyle w:val="Rimandonotadichiusura"/>
        </w:rPr>
        <w:endnoteRef/>
      </w:r>
      <w:r>
        <w:t xml:space="preserve"> </w:t>
      </w:r>
      <w:r w:rsidRPr="003F5018">
        <w:rPr>
          <w:sz w:val="18"/>
          <w:szCs w:val="18"/>
        </w:rPr>
        <w:t>Marcin Bielecki,</w:t>
      </w:r>
      <w:r w:rsidR="005F22B2">
        <w:rPr>
          <w:sz w:val="18"/>
          <w:szCs w:val="18"/>
        </w:rPr>
        <w:t xml:space="preserve"> </w:t>
      </w:r>
      <w:r w:rsidRPr="003F5018">
        <w:rPr>
          <w:sz w:val="18"/>
          <w:szCs w:val="18"/>
        </w:rPr>
        <w:t>Svetlana Antonyuk,</w:t>
      </w:r>
      <w:r w:rsidR="005F22B2">
        <w:rPr>
          <w:sz w:val="18"/>
          <w:szCs w:val="18"/>
        </w:rPr>
        <w:t xml:space="preserve"> </w:t>
      </w:r>
      <w:r w:rsidRPr="003F5018">
        <w:rPr>
          <w:sz w:val="18"/>
          <w:szCs w:val="18"/>
        </w:rPr>
        <w:t>Richard W. Strange,</w:t>
      </w:r>
      <w:r w:rsidR="005F22B2">
        <w:rPr>
          <w:sz w:val="18"/>
          <w:szCs w:val="18"/>
        </w:rPr>
        <w:t xml:space="preserve"> </w:t>
      </w:r>
      <w:r w:rsidRPr="003F5018">
        <w:rPr>
          <w:sz w:val="18"/>
          <w:szCs w:val="18"/>
        </w:rPr>
        <w:t>Klaudia Siemińska,</w:t>
      </w:r>
      <w:r w:rsidR="005F22B2">
        <w:rPr>
          <w:sz w:val="18"/>
          <w:szCs w:val="18"/>
        </w:rPr>
        <w:t xml:space="preserve"> </w:t>
      </w:r>
      <w:r w:rsidRPr="003F5018">
        <w:rPr>
          <w:sz w:val="18"/>
          <w:szCs w:val="18"/>
        </w:rPr>
        <w:t>John W. Smalley,</w:t>
      </w:r>
      <w:r w:rsidR="005F22B2">
        <w:rPr>
          <w:sz w:val="18"/>
          <w:szCs w:val="18"/>
        </w:rPr>
        <w:t xml:space="preserve"> </w:t>
      </w:r>
      <w:r w:rsidRPr="003F5018">
        <w:rPr>
          <w:sz w:val="18"/>
          <w:szCs w:val="18"/>
        </w:rPr>
        <w:t>Paweł Mackiewicz,</w:t>
      </w:r>
      <w:r w:rsidR="005F22B2">
        <w:rPr>
          <w:sz w:val="18"/>
          <w:szCs w:val="18"/>
        </w:rPr>
        <w:t xml:space="preserve"> </w:t>
      </w:r>
      <w:r w:rsidRPr="003F5018">
        <w:rPr>
          <w:sz w:val="18"/>
          <w:szCs w:val="18"/>
        </w:rPr>
        <w:t>Michał Śmiga,</w:t>
      </w:r>
      <w:r w:rsidR="005F22B2">
        <w:rPr>
          <w:sz w:val="18"/>
          <w:szCs w:val="18"/>
        </w:rPr>
        <w:t xml:space="preserve"> </w:t>
      </w:r>
      <w:r w:rsidRPr="003F5018">
        <w:rPr>
          <w:sz w:val="18"/>
          <w:szCs w:val="18"/>
        </w:rPr>
        <w:t>Megan Cowan,</w:t>
      </w:r>
      <w:r w:rsidR="005F22B2">
        <w:rPr>
          <w:sz w:val="18"/>
          <w:szCs w:val="18"/>
        </w:rPr>
        <w:t xml:space="preserve"> </w:t>
      </w:r>
      <w:r w:rsidRPr="003F5018">
        <w:rPr>
          <w:sz w:val="18"/>
          <w:szCs w:val="18"/>
        </w:rPr>
        <w:t>Michael J. Capper,</w:t>
      </w:r>
      <w:r w:rsidR="005F22B2">
        <w:rPr>
          <w:sz w:val="18"/>
          <w:szCs w:val="18"/>
        </w:rPr>
        <w:t xml:space="preserve"> </w:t>
      </w:r>
      <w:r w:rsidRPr="003F5018">
        <w:rPr>
          <w:sz w:val="18"/>
          <w:szCs w:val="18"/>
        </w:rPr>
        <w:t>Paulina Ślęzak,</w:t>
      </w:r>
      <w:r w:rsidR="005F22B2">
        <w:rPr>
          <w:sz w:val="18"/>
          <w:szCs w:val="18"/>
        </w:rPr>
        <w:t xml:space="preserve"> </w:t>
      </w:r>
      <w:r w:rsidRPr="003F5018">
        <w:rPr>
          <w:sz w:val="18"/>
          <w:szCs w:val="18"/>
        </w:rPr>
        <w:t>Mariusz Olczak,</w:t>
      </w:r>
      <w:r w:rsidR="005F22B2">
        <w:rPr>
          <w:sz w:val="18"/>
          <w:szCs w:val="18"/>
        </w:rPr>
        <w:t xml:space="preserve"> </w:t>
      </w:r>
      <w:r w:rsidRPr="003F5018">
        <w:rPr>
          <w:sz w:val="18"/>
          <w:szCs w:val="18"/>
        </w:rPr>
        <w:t>Teresa Olczak;</w:t>
      </w:r>
      <w:r w:rsidR="005F22B2">
        <w:rPr>
          <w:sz w:val="18"/>
          <w:szCs w:val="18"/>
        </w:rPr>
        <w:t xml:space="preserve"> </w:t>
      </w:r>
      <w:r w:rsidRPr="003F5018">
        <w:rPr>
          <w:i/>
          <w:iCs/>
          <w:sz w:val="18"/>
          <w:szCs w:val="18"/>
        </w:rPr>
        <w:t>Prevotella intermedia</w:t>
      </w:r>
      <w:r w:rsidR="005F22B2">
        <w:rPr>
          <w:i/>
          <w:iCs/>
          <w:sz w:val="18"/>
          <w:szCs w:val="18"/>
        </w:rPr>
        <w:t xml:space="preserve"> </w:t>
      </w:r>
      <w:r w:rsidRPr="003F5018">
        <w:rPr>
          <w:i/>
          <w:iCs/>
          <w:sz w:val="18"/>
          <w:szCs w:val="18"/>
        </w:rPr>
        <w:t>produces two proteins homologous to</w:t>
      </w:r>
      <w:r w:rsidR="005F22B2">
        <w:rPr>
          <w:i/>
          <w:iCs/>
          <w:sz w:val="18"/>
          <w:szCs w:val="18"/>
        </w:rPr>
        <w:t xml:space="preserve"> </w:t>
      </w:r>
      <w:r w:rsidRPr="003F5018">
        <w:rPr>
          <w:i/>
          <w:iCs/>
          <w:sz w:val="18"/>
          <w:szCs w:val="18"/>
        </w:rPr>
        <w:t>Porphyromonas gingivalis HmuY but with different heme coordination mode.</w:t>
      </w:r>
      <w:r w:rsidR="005F22B2">
        <w:rPr>
          <w:i/>
          <w:iCs/>
          <w:sz w:val="18"/>
          <w:szCs w:val="18"/>
        </w:rPr>
        <w:t xml:space="preserve"> </w:t>
      </w:r>
      <w:r w:rsidRPr="003F5018">
        <w:rPr>
          <w:i/>
          <w:iCs/>
          <w:sz w:val="18"/>
          <w:szCs w:val="18"/>
          <w:lang w:val="en-US"/>
        </w:rPr>
        <w:t>Biochem J</w:t>
      </w:r>
      <w:r w:rsidRPr="003F5018">
        <w:rPr>
          <w:sz w:val="18"/>
          <w:szCs w:val="18"/>
          <w:lang w:val="en-US"/>
        </w:rPr>
        <w:t xml:space="preserve"> 31 January </w:t>
      </w:r>
      <w:r w:rsidRPr="003F5018">
        <w:rPr>
          <w:b/>
          <w:bCs/>
          <w:sz w:val="18"/>
          <w:szCs w:val="18"/>
          <w:lang w:val="en-US"/>
        </w:rPr>
        <w:t>2020</w:t>
      </w:r>
      <w:r w:rsidRPr="003F5018">
        <w:rPr>
          <w:sz w:val="18"/>
          <w:szCs w:val="18"/>
          <w:lang w:val="en-US"/>
        </w:rPr>
        <w:t>; 477 (2): 381–405. doi: </w:t>
      </w:r>
      <w:r>
        <w:fldChar w:fldCharType="begin"/>
      </w:r>
      <w:r w:rsidRPr="009F2082">
        <w:rPr>
          <w:lang w:val="en-US"/>
        </w:rPr>
        <w:instrText>HYPERLINK "https://doi.org/10.1042/BCJ20190607" \t "_blank"</w:instrText>
      </w:r>
      <w:r>
        <w:fldChar w:fldCharType="separate"/>
      </w:r>
      <w:r w:rsidRPr="003F5018">
        <w:rPr>
          <w:rStyle w:val="Collegamentoipertestuale"/>
          <w:sz w:val="18"/>
          <w:szCs w:val="18"/>
          <w:lang w:val="en-US"/>
        </w:rPr>
        <w:t>https://doi.org/10.1042/BCJ20190607</w:t>
      </w:r>
      <w:r>
        <w:rPr>
          <w:rStyle w:val="Collegamentoipertestuale"/>
          <w:sz w:val="18"/>
          <w:szCs w:val="18"/>
          <w:lang w:val="en-US"/>
        </w:rPr>
        <w:fldChar w:fldCharType="end"/>
      </w:r>
    </w:p>
    <w:p w14:paraId="02260EB1" w14:textId="77777777" w:rsidR="00B22DD1" w:rsidRPr="00134393" w:rsidRDefault="00B22DD1" w:rsidP="00134393">
      <w:pPr>
        <w:pStyle w:val="Testonotadichiusura"/>
        <w:jc w:val="both"/>
        <w:rPr>
          <w:lang w:val="en-US"/>
        </w:rPr>
      </w:pPr>
    </w:p>
  </w:endnote>
  <w:endnote w:id="114">
    <w:p w14:paraId="13598DB9" w14:textId="4C317AA7" w:rsidR="00C57969" w:rsidRPr="005F1689" w:rsidRDefault="00C57969" w:rsidP="00961AAF">
      <w:pPr>
        <w:pStyle w:val="Testonotadichiusura"/>
        <w:jc w:val="both"/>
        <w:rPr>
          <w:lang w:val="en-US"/>
        </w:rPr>
      </w:pPr>
      <w:r>
        <w:rPr>
          <w:rStyle w:val="Rimandonotadichiusura"/>
        </w:rPr>
        <w:endnoteRef/>
      </w:r>
      <w:r w:rsidRPr="00C57969">
        <w:rPr>
          <w:lang w:val="en-US"/>
        </w:rPr>
        <w:t xml:space="preserve"> </w:t>
      </w:r>
      <w:r w:rsidRPr="00C57969">
        <w:rPr>
          <w:sz w:val="18"/>
          <w:szCs w:val="18"/>
          <w:lang w:val="en-US"/>
        </w:rPr>
        <w:t xml:space="preserve">Kataoka K, Kawabata S, Koyanagi K, Hashimoto Y, Miyake T, Fujihashi K. </w:t>
      </w:r>
      <w:r w:rsidRPr="00C57969">
        <w:rPr>
          <w:i/>
          <w:iCs/>
          <w:sz w:val="18"/>
          <w:szCs w:val="18"/>
          <w:lang w:val="en-US"/>
        </w:rPr>
        <w:t xml:space="preserve">Respiratory FimA-Specific Secretory IgA Antibodies Upregulated by DC-Targeting Nasal Double DNA Adjuvant Are Essential for Elimination of Porphyromonas gingivalis. </w:t>
      </w:r>
      <w:r w:rsidRPr="005F1689">
        <w:rPr>
          <w:i/>
          <w:iCs/>
          <w:sz w:val="18"/>
          <w:szCs w:val="18"/>
          <w:lang w:val="en-US"/>
        </w:rPr>
        <w:t>Front Immunol.</w:t>
      </w:r>
      <w:r w:rsidRPr="005F1689">
        <w:rPr>
          <w:sz w:val="18"/>
          <w:szCs w:val="18"/>
          <w:lang w:val="en-US"/>
        </w:rPr>
        <w:t xml:space="preserve"> </w:t>
      </w:r>
      <w:r w:rsidRPr="005F1689">
        <w:rPr>
          <w:b/>
          <w:bCs/>
          <w:sz w:val="18"/>
          <w:szCs w:val="18"/>
          <w:lang w:val="en-US"/>
        </w:rPr>
        <w:t>2021</w:t>
      </w:r>
      <w:r w:rsidRPr="005F1689">
        <w:rPr>
          <w:sz w:val="18"/>
          <w:szCs w:val="18"/>
          <w:lang w:val="en-US"/>
        </w:rPr>
        <w:t xml:space="preserve"> Feb 25;12:634923. doi: 10.3389/fimmu.2021.634923. PMID: 33717178; PMCID: PMC7948520.</w:t>
      </w:r>
    </w:p>
    <w:p w14:paraId="10104D0B" w14:textId="77777777" w:rsidR="00C57969" w:rsidRPr="00C57969" w:rsidRDefault="00C57969">
      <w:pPr>
        <w:pStyle w:val="Testonotadichiusura"/>
        <w:rPr>
          <w:lang w:val="en-US"/>
        </w:rPr>
      </w:pPr>
    </w:p>
  </w:endnote>
  <w:endnote w:id="115">
    <w:p w14:paraId="05ACD03F" w14:textId="2E040314" w:rsidR="00B22DD1" w:rsidRDefault="00B22DD1" w:rsidP="00B22DD1">
      <w:pPr>
        <w:pStyle w:val="Testonotadichiusura"/>
        <w:jc w:val="both"/>
        <w:rPr>
          <w:sz w:val="18"/>
          <w:szCs w:val="18"/>
          <w:lang w:val="en-US"/>
        </w:rPr>
      </w:pPr>
      <w:r>
        <w:rPr>
          <w:rStyle w:val="Rimandonotadichiusura"/>
        </w:rPr>
        <w:endnoteRef/>
      </w:r>
      <w:r w:rsidRPr="00B22DD1">
        <w:rPr>
          <w:lang w:val="en-US"/>
        </w:rPr>
        <w:t xml:space="preserve"> </w:t>
      </w:r>
      <w:r w:rsidRPr="0073375C">
        <w:rPr>
          <w:sz w:val="18"/>
          <w:szCs w:val="18"/>
          <w:lang w:val="en-US"/>
        </w:rPr>
        <w:t xml:space="preserve">Ruan Y, Shen L, Zou Y, Qi Z, Yin J, Jiang J, Guo L, He L, Chen Z, Tang Z, Qin S. </w:t>
      </w:r>
      <w:r w:rsidRPr="0073375C">
        <w:rPr>
          <w:i/>
          <w:iCs/>
          <w:sz w:val="18"/>
          <w:szCs w:val="18"/>
          <w:lang w:val="en-US"/>
        </w:rPr>
        <w:t>Comparative genome analysis of Prevotella intermedia strain isolated from infected root canal reveals features related to pathogenicity and adaptation</w:t>
      </w:r>
      <w:r w:rsidRPr="0073375C">
        <w:rPr>
          <w:sz w:val="18"/>
          <w:szCs w:val="18"/>
          <w:lang w:val="en-US"/>
        </w:rPr>
        <w:t xml:space="preserve">. </w:t>
      </w:r>
      <w:r w:rsidRPr="00C44CC1">
        <w:rPr>
          <w:sz w:val="18"/>
          <w:szCs w:val="18"/>
          <w:lang w:val="en-US"/>
        </w:rPr>
        <w:t xml:space="preserve">BMC Genomics. </w:t>
      </w:r>
      <w:r w:rsidRPr="00C44CC1">
        <w:rPr>
          <w:b/>
          <w:bCs/>
          <w:sz w:val="18"/>
          <w:szCs w:val="18"/>
          <w:lang w:val="en-US"/>
        </w:rPr>
        <w:t>2015</w:t>
      </w:r>
      <w:r w:rsidRPr="00C44CC1">
        <w:rPr>
          <w:sz w:val="18"/>
          <w:szCs w:val="18"/>
          <w:lang w:val="en-US"/>
        </w:rPr>
        <w:t xml:space="preserve"> Feb 25;16(1):122. doi: 10.1186/s12864-015-1272-3. PMID: 25765460; PMCID: PMC4349605.</w:t>
      </w:r>
    </w:p>
    <w:p w14:paraId="7846C395" w14:textId="77777777" w:rsidR="00B22DD1" w:rsidRPr="00B22DD1" w:rsidRDefault="00B22DD1">
      <w:pPr>
        <w:pStyle w:val="Testonotadichiusura"/>
        <w:rPr>
          <w:lang w:val="en-US"/>
        </w:rPr>
      </w:pPr>
    </w:p>
  </w:endnote>
  <w:endnote w:id="116">
    <w:p w14:paraId="21FE3B89" w14:textId="77777777" w:rsidR="006D40F0" w:rsidRDefault="006D40F0" w:rsidP="006D40F0">
      <w:pPr>
        <w:pStyle w:val="Testonotadichiusura"/>
        <w:jc w:val="both"/>
        <w:rPr>
          <w:sz w:val="18"/>
          <w:szCs w:val="18"/>
          <w:lang w:val="en-US"/>
        </w:rPr>
      </w:pPr>
      <w:r>
        <w:rPr>
          <w:rStyle w:val="Rimandonotadichiusura"/>
        </w:rPr>
        <w:endnoteRef/>
      </w:r>
      <w:r w:rsidRPr="006D40F0">
        <w:rPr>
          <w:lang w:val="en-US"/>
        </w:rPr>
        <w:t xml:space="preserve"> </w:t>
      </w:r>
      <w:r w:rsidRPr="0073375C">
        <w:rPr>
          <w:sz w:val="18"/>
          <w:szCs w:val="18"/>
          <w:lang w:val="en-US"/>
        </w:rPr>
        <w:t xml:space="preserve">Ashizawa H, Iwanaga N, Nemoto K, Hirayama T, Yoshida M, Takeda K, Ide S, Tashiro M, Hosogaya N, Takazono T, Kosai K, Sakamoto N, Izumikawa K, Naito M, Tanaka Y, Yanagihara K, Yatera K, Mukae H. </w:t>
      </w:r>
      <w:r w:rsidRPr="0073375C">
        <w:rPr>
          <w:i/>
          <w:iCs/>
          <w:sz w:val="18"/>
          <w:szCs w:val="18"/>
          <w:lang w:val="en-US"/>
        </w:rPr>
        <w:t>Prevotella intermedia Synergistically Exacerbates Pneumonia Induced by Oral Streptococci.</w:t>
      </w:r>
      <w:r w:rsidRPr="0073375C">
        <w:rPr>
          <w:sz w:val="18"/>
          <w:szCs w:val="18"/>
          <w:lang w:val="en-US"/>
        </w:rPr>
        <w:t xml:space="preserve"> J Infect Dis. </w:t>
      </w:r>
      <w:r w:rsidRPr="0073375C">
        <w:rPr>
          <w:b/>
          <w:bCs/>
          <w:sz w:val="18"/>
          <w:szCs w:val="18"/>
          <w:lang w:val="en-US"/>
        </w:rPr>
        <w:t>2025</w:t>
      </w:r>
      <w:r w:rsidRPr="0073375C">
        <w:rPr>
          <w:sz w:val="18"/>
          <w:szCs w:val="18"/>
          <w:lang w:val="en-US"/>
        </w:rPr>
        <w:t xml:space="preserve"> Aug 14;232(2):e280-e289. doi: 10.1093/infdis/jiaf278. PMID: 40424590; PMCID: PMC12349947.</w:t>
      </w:r>
    </w:p>
    <w:p w14:paraId="3E8CCB1B" w14:textId="313EAB5F" w:rsidR="006D40F0" w:rsidRPr="006D40F0" w:rsidRDefault="006D40F0">
      <w:pPr>
        <w:pStyle w:val="Testonotadichiusura"/>
        <w:rPr>
          <w:lang w:val="en-US"/>
        </w:rPr>
      </w:pPr>
    </w:p>
  </w:endnote>
  <w:endnote w:id="117">
    <w:p w14:paraId="56E0B5C3" w14:textId="47B7C8A7" w:rsidR="00796F99" w:rsidRDefault="00796F99" w:rsidP="00796F99">
      <w:pPr>
        <w:pStyle w:val="Testonotadichiusura"/>
        <w:jc w:val="both"/>
        <w:rPr>
          <w:sz w:val="18"/>
          <w:szCs w:val="18"/>
          <w:lang w:val="en-US"/>
        </w:rPr>
      </w:pPr>
      <w:r>
        <w:rPr>
          <w:rStyle w:val="Rimandonotadichiusura"/>
        </w:rPr>
        <w:endnoteRef/>
      </w:r>
      <w:r w:rsidRPr="00796F99">
        <w:rPr>
          <w:lang w:val="en-US"/>
        </w:rPr>
        <w:t xml:space="preserve"> </w:t>
      </w:r>
      <w:r w:rsidRPr="0073375C">
        <w:rPr>
          <w:sz w:val="18"/>
          <w:szCs w:val="18"/>
          <w:lang w:val="en-US"/>
        </w:rPr>
        <w:t xml:space="preserve">Naito M, Ogura Y, Itoh T, Shoji M, Okamoto M, Hayashi T, Nakayama K. </w:t>
      </w:r>
      <w:r w:rsidRPr="0073375C">
        <w:rPr>
          <w:i/>
          <w:iCs/>
          <w:sz w:val="18"/>
          <w:szCs w:val="18"/>
          <w:lang w:val="en-US"/>
        </w:rPr>
        <w:t>The complete genome sequencing of Prevotella intermedia strain OMA14 and a subsequent fine-scale, intra-species genomic comparison reveal an unusual amplification of conjugative and mobile transposons and identify a novel Prevotella-lineage-specific repeat.</w:t>
      </w:r>
      <w:r w:rsidRPr="0073375C">
        <w:rPr>
          <w:sz w:val="18"/>
          <w:szCs w:val="18"/>
          <w:lang w:val="en-US"/>
        </w:rPr>
        <w:t xml:space="preserve"> DNA Res. </w:t>
      </w:r>
      <w:r w:rsidRPr="0073375C">
        <w:rPr>
          <w:b/>
          <w:bCs/>
          <w:sz w:val="18"/>
          <w:szCs w:val="18"/>
          <w:lang w:val="en-US"/>
        </w:rPr>
        <w:t>2016</w:t>
      </w:r>
      <w:r w:rsidRPr="0073375C">
        <w:rPr>
          <w:sz w:val="18"/>
          <w:szCs w:val="18"/>
          <w:lang w:val="en-US"/>
        </w:rPr>
        <w:t xml:space="preserve"> Feb;23(1):11-9. doi: 10.1093/dnares/dsv032. Epub 2015 Dec 8. PMID: 26645327; PMCID: PMC4755523.</w:t>
      </w:r>
    </w:p>
    <w:p w14:paraId="5F4F18FB" w14:textId="77777777" w:rsidR="00796F99" w:rsidRPr="00796F99" w:rsidRDefault="00796F99" w:rsidP="00796F99">
      <w:pPr>
        <w:pStyle w:val="Testonotadichiusura"/>
        <w:jc w:val="both"/>
        <w:rPr>
          <w:lang w:val="en-US"/>
        </w:rPr>
      </w:pPr>
    </w:p>
  </w:endnote>
  <w:endnote w:id="118">
    <w:p w14:paraId="5419D85C" w14:textId="77777777" w:rsidR="00C57969" w:rsidRDefault="00C57969" w:rsidP="00C57969">
      <w:pPr>
        <w:pStyle w:val="Testonotadichiusura"/>
        <w:jc w:val="both"/>
        <w:rPr>
          <w:sz w:val="18"/>
          <w:szCs w:val="18"/>
          <w:lang w:val="en-US"/>
        </w:rPr>
      </w:pPr>
      <w:r>
        <w:rPr>
          <w:rStyle w:val="Rimandonotadichiusura"/>
        </w:rPr>
        <w:endnoteRef/>
      </w:r>
      <w:r w:rsidRPr="00796F99">
        <w:rPr>
          <w:lang w:val="en-US"/>
        </w:rPr>
        <w:t xml:space="preserve"> </w:t>
      </w:r>
      <w:r w:rsidRPr="00FE2E34">
        <w:rPr>
          <w:sz w:val="18"/>
          <w:szCs w:val="18"/>
          <w:lang w:val="en-US"/>
        </w:rPr>
        <w:t>Karched M, Bhardwaj RG, Qudeimat M, Al-Khabbaz A, Ellepola A</w:t>
      </w:r>
      <w:r w:rsidRPr="00FE2E34">
        <w:rPr>
          <w:i/>
          <w:iCs/>
          <w:sz w:val="18"/>
          <w:szCs w:val="18"/>
          <w:lang w:val="en-US"/>
        </w:rPr>
        <w:t>. Proteomic analysis of the periodontal pathogen Prevotella intermedia secretomes in biofilm and planktonic lifestyles</w:t>
      </w:r>
      <w:r w:rsidRPr="00FE2E34">
        <w:rPr>
          <w:sz w:val="18"/>
          <w:szCs w:val="18"/>
          <w:lang w:val="en-US"/>
        </w:rPr>
        <w:t xml:space="preserve">. Sci Rep. </w:t>
      </w:r>
      <w:r w:rsidRPr="00FE2E34">
        <w:rPr>
          <w:b/>
          <w:bCs/>
          <w:sz w:val="18"/>
          <w:szCs w:val="18"/>
          <w:lang w:val="en-US"/>
        </w:rPr>
        <w:t xml:space="preserve">2022 </w:t>
      </w:r>
      <w:r w:rsidRPr="00FE2E34">
        <w:rPr>
          <w:sz w:val="18"/>
          <w:szCs w:val="18"/>
          <w:lang w:val="en-US"/>
        </w:rPr>
        <w:t>Apr 4;12(1):5636. doi: 10.1038/s41598-022-09085-0. PMID: 35379855; PMCID: PMC8980031.</w:t>
      </w:r>
    </w:p>
    <w:p w14:paraId="7E8E351C" w14:textId="77777777" w:rsidR="00C57969" w:rsidRPr="00796F99" w:rsidRDefault="00C57969" w:rsidP="00C57969">
      <w:pPr>
        <w:pStyle w:val="Testonotadichiusura"/>
        <w:rPr>
          <w:lang w:val="en-US"/>
        </w:rPr>
      </w:pPr>
    </w:p>
  </w:endnote>
  <w:endnote w:id="119">
    <w:p w14:paraId="7CAD4C26" w14:textId="77777777" w:rsidR="00CB554A" w:rsidRPr="00FE2E34" w:rsidRDefault="00CB554A" w:rsidP="00CB554A">
      <w:pPr>
        <w:pStyle w:val="Testonotadichiusura"/>
        <w:jc w:val="both"/>
        <w:rPr>
          <w:sz w:val="18"/>
          <w:szCs w:val="18"/>
          <w:lang w:val="en-US"/>
        </w:rPr>
      </w:pPr>
      <w:r>
        <w:rPr>
          <w:rStyle w:val="Rimandonotadichiusura"/>
        </w:rPr>
        <w:endnoteRef/>
      </w:r>
      <w:r w:rsidRPr="00CB554A">
        <w:rPr>
          <w:lang w:val="en-US"/>
        </w:rPr>
        <w:t xml:space="preserve"> </w:t>
      </w:r>
      <w:r w:rsidRPr="00FE2E34">
        <w:rPr>
          <w:sz w:val="18"/>
          <w:szCs w:val="18"/>
          <w:lang w:val="en-US"/>
        </w:rPr>
        <w:t xml:space="preserve">Kwack KH, Jang EY, Yang SB, Lee JH, Moon JH. </w:t>
      </w:r>
      <w:r w:rsidRPr="00FE2E34">
        <w:rPr>
          <w:i/>
          <w:iCs/>
          <w:sz w:val="18"/>
          <w:szCs w:val="18"/>
          <w:lang w:val="en-US"/>
        </w:rPr>
        <w:t>Genomic and phenotypic comparison of Prevotella intermedia strains possessing different virulence in vivo.</w:t>
      </w:r>
      <w:r w:rsidRPr="00FE2E34">
        <w:rPr>
          <w:sz w:val="18"/>
          <w:szCs w:val="18"/>
          <w:lang w:val="en-US"/>
        </w:rPr>
        <w:t xml:space="preserve"> Virulence.</w:t>
      </w:r>
      <w:r w:rsidRPr="00FE2E34">
        <w:rPr>
          <w:b/>
          <w:bCs/>
          <w:sz w:val="18"/>
          <w:szCs w:val="18"/>
          <w:lang w:val="en-US"/>
        </w:rPr>
        <w:t xml:space="preserve"> 2022 </w:t>
      </w:r>
      <w:r w:rsidRPr="00FE2E34">
        <w:rPr>
          <w:sz w:val="18"/>
          <w:szCs w:val="18"/>
          <w:lang w:val="en-US"/>
        </w:rPr>
        <w:t>Dec;13(1):1133-1145. doi: 10.1080/21505594.2022.2095718. PMID: 35791444; PMCID: PMC9262359.</w:t>
      </w:r>
    </w:p>
    <w:p w14:paraId="28CD71B3" w14:textId="1F4F579A" w:rsidR="00CB554A" w:rsidRPr="00CB554A" w:rsidRDefault="00CB554A">
      <w:pPr>
        <w:pStyle w:val="Testonotadichiusura"/>
        <w:rPr>
          <w:lang w:val="en-US"/>
        </w:rPr>
      </w:pPr>
    </w:p>
  </w:endnote>
  <w:endnote w:id="120">
    <w:p w14:paraId="207B1352" w14:textId="3BB84322" w:rsidR="005A23E5" w:rsidRDefault="005A23E5" w:rsidP="005A23E5">
      <w:pPr>
        <w:pStyle w:val="Testonotadichiusura"/>
        <w:jc w:val="both"/>
        <w:rPr>
          <w:sz w:val="18"/>
          <w:szCs w:val="18"/>
          <w:lang w:val="en-US"/>
        </w:rPr>
      </w:pPr>
      <w:r>
        <w:rPr>
          <w:rStyle w:val="Rimandonotadichiusura"/>
        </w:rPr>
        <w:endnoteRef/>
      </w:r>
      <w:r w:rsidRPr="005A23E5">
        <w:rPr>
          <w:lang w:val="en-US"/>
        </w:rPr>
        <w:t xml:space="preserve"> </w:t>
      </w:r>
      <w:r w:rsidRPr="00FE2E34">
        <w:rPr>
          <w:sz w:val="18"/>
          <w:szCs w:val="18"/>
          <w:lang w:val="en-US"/>
        </w:rPr>
        <w:t xml:space="preserve">Zhang Y, Zhen M, Zhan Y, Song Y, Zhang Q, Wang J. </w:t>
      </w:r>
      <w:r w:rsidRPr="00FE2E34">
        <w:rPr>
          <w:i/>
          <w:iCs/>
          <w:sz w:val="18"/>
          <w:szCs w:val="18"/>
          <w:lang w:val="en-US"/>
        </w:rPr>
        <w:t>Population-Genomic Insights into Variation in Prevotella intermedia and Prevotella nigrescens Isolates and Its Association with Periodontal Disease.</w:t>
      </w:r>
      <w:r w:rsidRPr="00FE2E34">
        <w:rPr>
          <w:sz w:val="18"/>
          <w:szCs w:val="18"/>
          <w:lang w:val="en-US"/>
        </w:rPr>
        <w:t xml:space="preserve"> Front Cell Infect Microbiol. </w:t>
      </w:r>
      <w:r w:rsidRPr="00FE2E34">
        <w:rPr>
          <w:b/>
          <w:bCs/>
          <w:sz w:val="18"/>
          <w:szCs w:val="18"/>
          <w:lang w:val="en-US"/>
        </w:rPr>
        <w:t>2017</w:t>
      </w:r>
      <w:r w:rsidRPr="00FE2E34">
        <w:rPr>
          <w:sz w:val="18"/>
          <w:szCs w:val="18"/>
          <w:lang w:val="en-US"/>
        </w:rPr>
        <w:t xml:space="preserve"> Sep 21;7:409. doi: 10.3389/fcimb.2017.00409. PMID: 28983469; PMCID: PMC5613308</w:t>
      </w:r>
      <w:r>
        <w:rPr>
          <w:sz w:val="18"/>
          <w:szCs w:val="18"/>
          <w:lang w:val="en-US"/>
        </w:rPr>
        <w:t>.</w:t>
      </w:r>
    </w:p>
    <w:p w14:paraId="0688CFE2" w14:textId="77777777" w:rsidR="005A23E5" w:rsidRPr="005A23E5" w:rsidRDefault="005A23E5">
      <w:pPr>
        <w:pStyle w:val="Testonotadichiusura"/>
        <w:rPr>
          <w:lang w:val="en-US"/>
        </w:rPr>
      </w:pPr>
    </w:p>
  </w:endnote>
  <w:endnote w:id="121">
    <w:p w14:paraId="1E46D425" w14:textId="77777777" w:rsidR="00134FD1" w:rsidRPr="005D0FFE" w:rsidRDefault="00134FD1" w:rsidP="0072132A">
      <w:pPr>
        <w:pStyle w:val="Testonotadichiusura"/>
        <w:jc w:val="both"/>
        <w:rPr>
          <w:sz w:val="18"/>
          <w:szCs w:val="18"/>
          <w:lang w:val="en-US"/>
        </w:rPr>
      </w:pPr>
      <w:r>
        <w:rPr>
          <w:rStyle w:val="Rimandonotadichiusura"/>
        </w:rPr>
        <w:endnoteRef/>
      </w:r>
      <w:r w:rsidRPr="005D0FFE">
        <w:rPr>
          <w:lang w:val="en-US"/>
        </w:rPr>
        <w:t xml:space="preserve"> </w:t>
      </w:r>
      <w:r w:rsidRPr="005D0FFE">
        <w:rPr>
          <w:sz w:val="18"/>
          <w:szCs w:val="18"/>
          <w:lang w:val="en-US"/>
        </w:rPr>
        <w:t xml:space="preserve">Maeda N, Okamoto M, Kondo K, Ishikawa H, Osada R, Tsurumoto A, Fujita H. </w:t>
      </w:r>
      <w:r w:rsidRPr="005D0FFE">
        <w:rPr>
          <w:i/>
          <w:iCs/>
          <w:sz w:val="18"/>
          <w:szCs w:val="18"/>
          <w:lang w:val="en-US"/>
        </w:rPr>
        <w:t>Incidence of Prevotella intermedia and Prevotella nigrescens in periodontal health and disease.</w:t>
      </w:r>
      <w:r w:rsidRPr="005D0FFE">
        <w:rPr>
          <w:sz w:val="18"/>
          <w:szCs w:val="18"/>
          <w:lang w:val="en-US"/>
        </w:rPr>
        <w:t xml:space="preserve"> Microbiol Immunol. </w:t>
      </w:r>
      <w:r w:rsidRPr="005D0FFE">
        <w:rPr>
          <w:b/>
          <w:bCs/>
          <w:sz w:val="18"/>
          <w:szCs w:val="18"/>
          <w:lang w:val="en-US"/>
        </w:rPr>
        <w:t>1998</w:t>
      </w:r>
      <w:r w:rsidRPr="005D0FFE">
        <w:rPr>
          <w:sz w:val="18"/>
          <w:szCs w:val="18"/>
          <w:lang w:val="en-US"/>
        </w:rPr>
        <w:t>;42(9):583-9. doi: 10.1111/j.1348-0421.1998.tb02328.x. PMID: 9802558.</w:t>
      </w:r>
    </w:p>
    <w:p w14:paraId="1E454F5C" w14:textId="77777777" w:rsidR="00134FD1" w:rsidRPr="005D0FFE" w:rsidRDefault="00134FD1" w:rsidP="0072132A">
      <w:pPr>
        <w:pStyle w:val="Testonotadichiusura"/>
        <w:jc w:val="both"/>
        <w:rPr>
          <w:lang w:val="en-US"/>
        </w:rPr>
      </w:pPr>
    </w:p>
  </w:endnote>
  <w:endnote w:id="122">
    <w:p w14:paraId="2A180C57" w14:textId="77777777" w:rsidR="00930043" w:rsidRPr="007E6CE6" w:rsidRDefault="00930043" w:rsidP="00930043">
      <w:pPr>
        <w:pStyle w:val="Testonotadichiusura"/>
        <w:jc w:val="both"/>
        <w:rPr>
          <w:lang w:val="en-US"/>
        </w:rPr>
      </w:pPr>
      <w:r>
        <w:rPr>
          <w:rStyle w:val="Rimandonotadichiusura"/>
        </w:rPr>
        <w:endnoteRef/>
      </w:r>
      <w:r w:rsidRPr="007E6CE6">
        <w:rPr>
          <w:lang w:val="en-US"/>
        </w:rPr>
        <w:t xml:space="preserve"> </w:t>
      </w:r>
      <w:r w:rsidRPr="007E6CE6">
        <w:rPr>
          <w:sz w:val="18"/>
          <w:szCs w:val="18"/>
          <w:lang w:val="en-US"/>
        </w:rPr>
        <w:t xml:space="preserve">Loesche WJ, Grossman NS. </w:t>
      </w:r>
      <w:r w:rsidRPr="007E6CE6">
        <w:rPr>
          <w:i/>
          <w:iCs/>
          <w:sz w:val="18"/>
          <w:szCs w:val="18"/>
          <w:lang w:val="en-US"/>
        </w:rPr>
        <w:t>Periodontal disease as a specific, albeit chronic, infection: diagnosis and treatment. Clin Microbiol</w:t>
      </w:r>
      <w:r w:rsidRPr="007E6CE6">
        <w:rPr>
          <w:sz w:val="18"/>
          <w:szCs w:val="18"/>
          <w:lang w:val="en-US"/>
        </w:rPr>
        <w:t xml:space="preserve"> Rev. </w:t>
      </w:r>
      <w:r w:rsidRPr="007E6CE6">
        <w:rPr>
          <w:b/>
          <w:bCs/>
          <w:sz w:val="18"/>
          <w:szCs w:val="18"/>
          <w:lang w:val="en-US"/>
        </w:rPr>
        <w:t>2001</w:t>
      </w:r>
      <w:r w:rsidRPr="007E6CE6">
        <w:rPr>
          <w:sz w:val="18"/>
          <w:szCs w:val="18"/>
          <w:lang w:val="en-US"/>
        </w:rPr>
        <w:t xml:space="preserve"> Oct;14(4):727-52, table of contents. doi: 10.1128/CMR.14.4.727-752.2001. PMID: 11585783; PMCID: PMC89001.</w:t>
      </w:r>
    </w:p>
    <w:p w14:paraId="779E40A4" w14:textId="77777777" w:rsidR="00930043" w:rsidRPr="007E6CE6" w:rsidRDefault="00930043" w:rsidP="00930043">
      <w:pPr>
        <w:pStyle w:val="Testonotadichiusura"/>
        <w:rPr>
          <w:lang w:val="en-US"/>
        </w:rPr>
      </w:pPr>
    </w:p>
  </w:endnote>
  <w:endnote w:id="123">
    <w:p w14:paraId="675AC12C" w14:textId="7FFDEE8B" w:rsidR="00930043" w:rsidRPr="00930043" w:rsidRDefault="00930043" w:rsidP="00930043">
      <w:pPr>
        <w:pStyle w:val="Testonotadichiusura"/>
        <w:jc w:val="both"/>
        <w:rPr>
          <w:lang w:val="en-US"/>
        </w:rPr>
      </w:pPr>
      <w:r>
        <w:rPr>
          <w:rStyle w:val="Rimandonotadichiusura"/>
        </w:rPr>
        <w:endnoteRef/>
      </w:r>
      <w:r w:rsidRPr="00930043">
        <w:rPr>
          <w:lang w:val="en-US"/>
        </w:rPr>
        <w:t xml:space="preserve"> </w:t>
      </w:r>
      <w:r w:rsidRPr="00930043">
        <w:rPr>
          <w:sz w:val="18"/>
          <w:szCs w:val="18"/>
          <w:lang w:val="en-US"/>
        </w:rPr>
        <w:t xml:space="preserve">Smalley JW, Olczak T. </w:t>
      </w:r>
      <w:r w:rsidRPr="00930043">
        <w:rPr>
          <w:i/>
          <w:iCs/>
          <w:sz w:val="18"/>
          <w:szCs w:val="18"/>
          <w:lang w:val="en-US"/>
        </w:rPr>
        <w:t xml:space="preserve">Heme acquisition mechanisms of Porphyromonas gingivalis - strategies used in a polymicrobial community in a heme-limited host environment. </w:t>
      </w:r>
      <w:r w:rsidRPr="00930043">
        <w:rPr>
          <w:sz w:val="18"/>
          <w:szCs w:val="18"/>
          <w:lang w:val="en-US"/>
        </w:rPr>
        <w:t xml:space="preserve">Mol Oral Microbiol. </w:t>
      </w:r>
      <w:r w:rsidRPr="00930043">
        <w:rPr>
          <w:b/>
          <w:bCs/>
          <w:sz w:val="18"/>
          <w:szCs w:val="18"/>
          <w:lang w:val="en-US"/>
        </w:rPr>
        <w:t>2017</w:t>
      </w:r>
      <w:r w:rsidRPr="00930043">
        <w:rPr>
          <w:sz w:val="18"/>
          <w:szCs w:val="18"/>
          <w:lang w:val="en-US"/>
        </w:rPr>
        <w:t xml:space="preserve"> Feb;32(1):1-23. doi: 10.1111/omi.12149. Epub 2016 Jan 28. PMID: 26662717.</w:t>
      </w:r>
    </w:p>
    <w:p w14:paraId="56BCBBA5" w14:textId="77777777" w:rsidR="00930043" w:rsidRPr="00930043" w:rsidRDefault="00930043">
      <w:pPr>
        <w:pStyle w:val="Testonotadichiusura"/>
        <w:rPr>
          <w:lang w:val="en-US"/>
        </w:rPr>
      </w:pPr>
    </w:p>
  </w:endnote>
  <w:endnote w:id="124">
    <w:p w14:paraId="62281FFE" w14:textId="524FEDB7" w:rsidR="00930043" w:rsidRPr="00930043" w:rsidRDefault="00930043" w:rsidP="00930043">
      <w:pPr>
        <w:pStyle w:val="Testonotadichiusura"/>
        <w:jc w:val="both"/>
        <w:rPr>
          <w:lang w:val="en-US"/>
        </w:rPr>
      </w:pPr>
      <w:r>
        <w:rPr>
          <w:rStyle w:val="Rimandonotadichiusura"/>
        </w:rPr>
        <w:endnoteRef/>
      </w:r>
      <w:r w:rsidRPr="00930043">
        <w:rPr>
          <w:lang w:val="en-US"/>
        </w:rPr>
        <w:t xml:space="preserve"> </w:t>
      </w:r>
      <w:r w:rsidRPr="00930043">
        <w:rPr>
          <w:sz w:val="18"/>
          <w:szCs w:val="18"/>
          <w:lang w:val="en-US"/>
        </w:rPr>
        <w:t xml:space="preserve">Potempa J, Pike RN. </w:t>
      </w:r>
      <w:r w:rsidRPr="00930043">
        <w:rPr>
          <w:i/>
          <w:iCs/>
          <w:sz w:val="18"/>
          <w:szCs w:val="18"/>
          <w:lang w:val="en-US"/>
        </w:rPr>
        <w:t>Corruption of innate immunity by bacterial proteases. J Innate Immun</w:t>
      </w:r>
      <w:r w:rsidRPr="00930043">
        <w:rPr>
          <w:sz w:val="18"/>
          <w:szCs w:val="18"/>
          <w:lang w:val="en-US"/>
        </w:rPr>
        <w:t xml:space="preserve">. </w:t>
      </w:r>
      <w:r w:rsidRPr="00930043">
        <w:rPr>
          <w:b/>
          <w:bCs/>
          <w:sz w:val="18"/>
          <w:szCs w:val="18"/>
          <w:lang w:val="en-US"/>
        </w:rPr>
        <w:t>2009</w:t>
      </w:r>
      <w:r w:rsidRPr="00930043">
        <w:rPr>
          <w:sz w:val="18"/>
          <w:szCs w:val="18"/>
          <w:lang w:val="en-US"/>
        </w:rPr>
        <w:t>;1(2):70-87. doi: 10.1159/000181144. PMID: 19756242; PMCID: PMC2743019.</w:t>
      </w:r>
    </w:p>
    <w:p w14:paraId="5155F2FB" w14:textId="77777777" w:rsidR="00930043" w:rsidRPr="00930043" w:rsidRDefault="00930043">
      <w:pPr>
        <w:pStyle w:val="Testonotadichiusura"/>
        <w:rPr>
          <w:lang w:val="en-US"/>
        </w:rPr>
      </w:pPr>
    </w:p>
  </w:endnote>
  <w:endnote w:id="125">
    <w:p w14:paraId="154ED276" w14:textId="0648281B" w:rsidR="00930043" w:rsidRPr="00930043" w:rsidRDefault="00930043" w:rsidP="00930043">
      <w:pPr>
        <w:pStyle w:val="Testonotadichiusura"/>
        <w:jc w:val="both"/>
        <w:rPr>
          <w:sz w:val="18"/>
          <w:szCs w:val="18"/>
          <w:lang w:val="en-US"/>
        </w:rPr>
      </w:pPr>
      <w:r>
        <w:rPr>
          <w:rStyle w:val="Rimandonotadichiusura"/>
        </w:rPr>
        <w:endnoteRef/>
      </w:r>
      <w:r w:rsidRPr="00930043">
        <w:rPr>
          <w:lang w:val="en-US"/>
        </w:rPr>
        <w:t xml:space="preserve"> </w:t>
      </w:r>
      <w:r w:rsidRPr="00930043">
        <w:rPr>
          <w:sz w:val="18"/>
          <w:szCs w:val="18"/>
          <w:lang w:val="en-US"/>
        </w:rPr>
        <w:t>Hajishengallis G, Lamont RJ.</w:t>
      </w:r>
      <w:r w:rsidRPr="00930043">
        <w:rPr>
          <w:i/>
          <w:iCs/>
          <w:sz w:val="18"/>
          <w:szCs w:val="18"/>
          <w:lang w:val="en-US"/>
        </w:rPr>
        <w:t>Breaking bad: manipulation of the host response by periodontal pathogens.</w:t>
      </w:r>
      <w:r w:rsidRPr="00930043">
        <w:rPr>
          <w:sz w:val="18"/>
          <w:szCs w:val="18"/>
          <w:lang w:val="en-US"/>
        </w:rPr>
        <w:t xml:space="preserve"> </w:t>
      </w:r>
      <w:r w:rsidRPr="00930043">
        <w:rPr>
          <w:i/>
          <w:iCs/>
          <w:sz w:val="18"/>
          <w:szCs w:val="18"/>
          <w:lang w:val="en-US"/>
        </w:rPr>
        <w:t>Nat Rev Microbiol.</w:t>
      </w:r>
      <w:r w:rsidRPr="00930043">
        <w:rPr>
          <w:sz w:val="18"/>
          <w:szCs w:val="18"/>
          <w:lang w:val="en-US"/>
        </w:rPr>
        <w:t xml:space="preserve"> </w:t>
      </w:r>
      <w:r w:rsidRPr="00930043">
        <w:rPr>
          <w:b/>
          <w:bCs/>
          <w:sz w:val="18"/>
          <w:szCs w:val="18"/>
          <w:lang w:val="en-US"/>
        </w:rPr>
        <w:t>2014</w:t>
      </w:r>
      <w:r w:rsidRPr="00930043">
        <w:rPr>
          <w:sz w:val="18"/>
          <w:szCs w:val="18"/>
          <w:lang w:val="en-US"/>
        </w:rPr>
        <w:t>;12(7):477–489.</w:t>
      </w:r>
    </w:p>
    <w:p w14:paraId="0EC71291" w14:textId="77777777" w:rsidR="00930043" w:rsidRPr="00930043" w:rsidRDefault="00930043">
      <w:pPr>
        <w:pStyle w:val="Testonotadichiusura"/>
        <w:rPr>
          <w:lang w:val="en-US"/>
        </w:rPr>
      </w:pPr>
    </w:p>
  </w:endnote>
  <w:endnote w:id="126">
    <w:p w14:paraId="42E2F0D7" w14:textId="3A29B540" w:rsidR="00DF7E37" w:rsidRDefault="00DF7E37" w:rsidP="00DF7E37">
      <w:pPr>
        <w:pStyle w:val="Testonotadichiusura"/>
        <w:jc w:val="both"/>
        <w:rPr>
          <w:sz w:val="18"/>
          <w:szCs w:val="18"/>
          <w:lang w:val="en-US"/>
        </w:rPr>
      </w:pPr>
      <w:r>
        <w:rPr>
          <w:rStyle w:val="Rimandonotadichiusura"/>
        </w:rPr>
        <w:endnoteRef/>
      </w:r>
      <w:r w:rsidRPr="00DF7E37">
        <w:rPr>
          <w:lang w:val="en-US"/>
        </w:rPr>
        <w:t xml:space="preserve"> </w:t>
      </w:r>
      <w:r w:rsidRPr="00DF7E37">
        <w:rPr>
          <w:sz w:val="18"/>
          <w:szCs w:val="18"/>
          <w:lang w:val="en-US"/>
        </w:rPr>
        <w:t xml:space="preserve">LISTGARTEN MA. </w:t>
      </w:r>
      <w:r w:rsidRPr="00DF7E37">
        <w:rPr>
          <w:i/>
          <w:iCs/>
          <w:sz w:val="18"/>
          <w:szCs w:val="18"/>
          <w:lang w:val="en-US"/>
        </w:rPr>
        <w:t>ELECTRON MICROSCOPIC OBSERVATIONS ON THE BACTERIAL FLORA OF ACUTE NECROTIZING ULCERATIVE GINGIVITIS</w:t>
      </w:r>
      <w:r w:rsidRPr="00DF7E37">
        <w:rPr>
          <w:sz w:val="18"/>
          <w:szCs w:val="18"/>
          <w:lang w:val="en-US"/>
        </w:rPr>
        <w:t>. J Periodontol (</w:t>
      </w:r>
      <w:r w:rsidRPr="00DF7E37">
        <w:rPr>
          <w:b/>
          <w:bCs/>
          <w:sz w:val="18"/>
          <w:szCs w:val="18"/>
          <w:lang w:val="en-US"/>
        </w:rPr>
        <w:t>1930</w:t>
      </w:r>
      <w:r w:rsidRPr="00DF7E37">
        <w:rPr>
          <w:sz w:val="18"/>
          <w:szCs w:val="18"/>
          <w:lang w:val="en-US"/>
        </w:rPr>
        <w:t>). 1965 Jul-Aug;36:328-39. doi: 10.1902/jop.1965.36.4.328. PMID: 14326701.</w:t>
      </w:r>
    </w:p>
    <w:p w14:paraId="01FA497E" w14:textId="77777777" w:rsidR="00930043" w:rsidRPr="00DF7E37" w:rsidRDefault="00930043" w:rsidP="00DF7E37">
      <w:pPr>
        <w:pStyle w:val="Testonotadichiusura"/>
        <w:jc w:val="both"/>
        <w:rPr>
          <w:lang w:val="en-US"/>
        </w:rPr>
      </w:pPr>
    </w:p>
  </w:endnote>
  <w:endnote w:id="127">
    <w:p w14:paraId="7CC1D644" w14:textId="1C8CD77F" w:rsidR="00DF7E37" w:rsidRPr="00F97FD6" w:rsidRDefault="00DF7E37" w:rsidP="00DF7E37">
      <w:pPr>
        <w:pStyle w:val="Testonotadichiusura"/>
        <w:jc w:val="both"/>
        <w:rPr>
          <w:lang w:val="en-US"/>
        </w:rPr>
      </w:pPr>
      <w:r>
        <w:rPr>
          <w:rStyle w:val="Rimandonotadichiusura"/>
        </w:rPr>
        <w:endnoteRef/>
      </w:r>
      <w:r w:rsidRPr="00DF7E37">
        <w:rPr>
          <w:lang w:val="en-US"/>
        </w:rPr>
        <w:t xml:space="preserve"> </w:t>
      </w:r>
      <w:r w:rsidRPr="00DF7E37">
        <w:rPr>
          <w:sz w:val="18"/>
          <w:szCs w:val="18"/>
          <w:lang w:val="en-US"/>
        </w:rPr>
        <w:t xml:space="preserve">Slots J, Ting M. </w:t>
      </w:r>
      <w:r w:rsidRPr="00DF7E37">
        <w:rPr>
          <w:i/>
          <w:iCs/>
          <w:sz w:val="18"/>
          <w:szCs w:val="18"/>
          <w:lang w:val="en-US"/>
        </w:rPr>
        <w:t>Actinobacillus actinomycetemcomitans and Porphyromonas gingivalis in human periodontal disease: occurrence and treatment</w:t>
      </w:r>
      <w:r w:rsidRPr="00DF7E37">
        <w:rPr>
          <w:sz w:val="18"/>
          <w:szCs w:val="18"/>
          <w:lang w:val="en-US"/>
        </w:rPr>
        <w:t xml:space="preserve">. </w:t>
      </w:r>
      <w:r w:rsidRPr="00F97FD6">
        <w:rPr>
          <w:sz w:val="18"/>
          <w:szCs w:val="18"/>
          <w:lang w:val="en-US"/>
        </w:rPr>
        <w:t xml:space="preserve">Periodontol </w:t>
      </w:r>
      <w:r w:rsidRPr="00F97FD6">
        <w:rPr>
          <w:b/>
          <w:bCs/>
          <w:sz w:val="18"/>
          <w:szCs w:val="18"/>
          <w:lang w:val="en-US"/>
        </w:rPr>
        <w:t>2000</w:t>
      </w:r>
      <w:r w:rsidRPr="00F97FD6">
        <w:rPr>
          <w:sz w:val="18"/>
          <w:szCs w:val="18"/>
          <w:lang w:val="en-US"/>
        </w:rPr>
        <w:t>. 1999 Jun;20:82-121. doi: 10.1111/j.1600-0757.1999.tb00159.x. PMID: 10522224.</w:t>
      </w:r>
    </w:p>
    <w:p w14:paraId="6ACA3CEB" w14:textId="77777777" w:rsidR="00DF7E37" w:rsidRPr="00DF7E37" w:rsidRDefault="00DF7E37">
      <w:pPr>
        <w:pStyle w:val="Testonotadichiusura"/>
        <w:rPr>
          <w:lang w:val="en-US"/>
        </w:rPr>
      </w:pPr>
    </w:p>
  </w:endnote>
  <w:endnote w:id="128">
    <w:p w14:paraId="03BFFD8F" w14:textId="77777777" w:rsidR="00427A44" w:rsidRPr="00134FD1" w:rsidRDefault="00427A44" w:rsidP="0072132A">
      <w:pPr>
        <w:pStyle w:val="Testonotadichiusura"/>
        <w:jc w:val="both"/>
        <w:rPr>
          <w:lang w:val="en-US"/>
        </w:rPr>
      </w:pPr>
      <w:r>
        <w:rPr>
          <w:rStyle w:val="Rimandonotadichiusura"/>
        </w:rPr>
        <w:endnoteRef/>
      </w:r>
      <w:r w:rsidRPr="00427A44">
        <w:rPr>
          <w:lang w:val="en-US"/>
        </w:rPr>
        <w:t xml:space="preserve"> </w:t>
      </w:r>
      <w:r w:rsidRPr="00427A44">
        <w:rPr>
          <w:sz w:val="18"/>
          <w:szCs w:val="18"/>
          <w:lang w:val="en-US"/>
        </w:rPr>
        <w:t xml:space="preserve">Rajaram A, Kotrashetti VS, Somannavar PD, Ingalagi P, Bhat K. </w:t>
      </w:r>
      <w:r w:rsidRPr="00427A44">
        <w:rPr>
          <w:i/>
          <w:iCs/>
          <w:sz w:val="18"/>
          <w:szCs w:val="18"/>
          <w:lang w:val="en-US"/>
        </w:rPr>
        <w:t>Culture-based identification of pigmented Porphyromonas and Prevotella species in primary endodontic infections</w:t>
      </w:r>
      <w:r w:rsidRPr="00427A44">
        <w:rPr>
          <w:sz w:val="18"/>
          <w:szCs w:val="18"/>
          <w:lang w:val="en-US"/>
        </w:rPr>
        <w:t xml:space="preserve">. J Dent Res Dent Clin Dent Prospects. </w:t>
      </w:r>
      <w:r w:rsidRPr="00427A44">
        <w:rPr>
          <w:b/>
          <w:bCs/>
          <w:sz w:val="18"/>
          <w:szCs w:val="18"/>
          <w:lang w:val="en-US"/>
        </w:rPr>
        <w:t>2016</w:t>
      </w:r>
      <w:r w:rsidRPr="00427A44">
        <w:rPr>
          <w:sz w:val="18"/>
          <w:szCs w:val="18"/>
          <w:lang w:val="en-US"/>
        </w:rPr>
        <w:t xml:space="preserve">;10(3):136-41. doi: 10.15171/joddd.2016.022. Epub 2016 Aug 17. </w:t>
      </w:r>
      <w:r w:rsidRPr="00134FD1">
        <w:rPr>
          <w:sz w:val="18"/>
          <w:szCs w:val="18"/>
          <w:lang w:val="en-US"/>
        </w:rPr>
        <w:t>PMID: 27651878; PMCID: PMC5025213.</w:t>
      </w:r>
    </w:p>
    <w:p w14:paraId="069EFC8B" w14:textId="7AD2DF0D" w:rsidR="00427A44" w:rsidRPr="00134FD1" w:rsidRDefault="00427A44" w:rsidP="0072132A">
      <w:pPr>
        <w:pStyle w:val="Testonotadichiusura"/>
        <w:ind w:left="720"/>
        <w:jc w:val="both"/>
        <w:rPr>
          <w:lang w:val="en-US"/>
        </w:rPr>
      </w:pPr>
    </w:p>
  </w:endnote>
  <w:endnote w:id="129">
    <w:p w14:paraId="745F3127" w14:textId="24A31604" w:rsidR="007E6CE6" w:rsidRDefault="007E6CE6" w:rsidP="007E6CE6">
      <w:pPr>
        <w:pStyle w:val="Testonotadichiusura"/>
        <w:jc w:val="both"/>
        <w:rPr>
          <w:sz w:val="18"/>
          <w:szCs w:val="18"/>
          <w:lang w:val="en-US"/>
        </w:rPr>
      </w:pPr>
      <w:r>
        <w:rPr>
          <w:rStyle w:val="Rimandonotadichiusura"/>
        </w:rPr>
        <w:endnoteRef/>
      </w:r>
      <w:r w:rsidRPr="007E6CE6">
        <w:rPr>
          <w:lang w:val="en-US"/>
        </w:rPr>
        <w:t xml:space="preserve"> </w:t>
      </w:r>
      <w:r w:rsidRPr="007E6CE6">
        <w:rPr>
          <w:sz w:val="18"/>
          <w:szCs w:val="18"/>
          <w:lang w:val="en-US"/>
        </w:rPr>
        <w:t xml:space="preserve">Brook I. </w:t>
      </w:r>
      <w:r w:rsidRPr="007E6CE6">
        <w:rPr>
          <w:i/>
          <w:iCs/>
          <w:sz w:val="18"/>
          <w:szCs w:val="18"/>
          <w:lang w:val="en-US"/>
        </w:rPr>
        <w:t>Microbiology and management of periodontal infections</w:t>
      </w:r>
      <w:r w:rsidRPr="007E6CE6">
        <w:rPr>
          <w:sz w:val="18"/>
          <w:szCs w:val="18"/>
          <w:lang w:val="en-US"/>
        </w:rPr>
        <w:t xml:space="preserve">. Gen Dent. </w:t>
      </w:r>
      <w:r w:rsidRPr="007E6CE6">
        <w:rPr>
          <w:b/>
          <w:bCs/>
          <w:sz w:val="18"/>
          <w:szCs w:val="18"/>
          <w:lang w:val="en-US"/>
        </w:rPr>
        <w:t>2003</w:t>
      </w:r>
      <w:r w:rsidRPr="007E6CE6">
        <w:rPr>
          <w:sz w:val="18"/>
          <w:szCs w:val="18"/>
          <w:lang w:val="en-US"/>
        </w:rPr>
        <w:t xml:space="preserve"> Sep-Oct;51(5):424-8. PMID: 15055631.</w:t>
      </w:r>
    </w:p>
    <w:p w14:paraId="36D81086" w14:textId="77777777" w:rsidR="004C0A3A" w:rsidRPr="007E6CE6" w:rsidRDefault="004C0A3A" w:rsidP="007E6CE6">
      <w:pPr>
        <w:pStyle w:val="Testonotadichiusura"/>
        <w:jc w:val="both"/>
        <w:rPr>
          <w:lang w:val="en-US"/>
        </w:rPr>
      </w:pPr>
    </w:p>
  </w:endnote>
  <w:endnote w:id="130">
    <w:p w14:paraId="22A8EA24" w14:textId="1E6B790E" w:rsidR="007E6CE6" w:rsidRDefault="007E6CE6" w:rsidP="007E6CE6">
      <w:pPr>
        <w:pStyle w:val="Testonotadichiusura"/>
        <w:jc w:val="both"/>
        <w:rPr>
          <w:sz w:val="18"/>
          <w:szCs w:val="18"/>
          <w:lang w:val="en-US"/>
        </w:rPr>
      </w:pPr>
      <w:r>
        <w:rPr>
          <w:rStyle w:val="Rimandonotadichiusura"/>
        </w:rPr>
        <w:endnoteRef/>
      </w:r>
      <w:r w:rsidRPr="007E6CE6">
        <w:rPr>
          <w:lang w:val="en-US"/>
        </w:rPr>
        <w:t xml:space="preserve"> </w:t>
      </w:r>
      <w:r w:rsidRPr="007E6CE6">
        <w:rPr>
          <w:sz w:val="18"/>
          <w:szCs w:val="18"/>
          <w:lang w:val="en-US"/>
        </w:rPr>
        <w:t xml:space="preserve">Feller L, Khammissa RAG, Altini M, Lemmer J. </w:t>
      </w:r>
      <w:r w:rsidRPr="007E6CE6">
        <w:rPr>
          <w:i/>
          <w:iCs/>
          <w:sz w:val="18"/>
          <w:szCs w:val="18"/>
          <w:lang w:val="en-US"/>
        </w:rPr>
        <w:t>Noma (cancrum oris): An unresolved global challenge. Periodontol 2000.</w:t>
      </w:r>
      <w:r w:rsidRPr="007E6CE6">
        <w:rPr>
          <w:sz w:val="18"/>
          <w:szCs w:val="18"/>
          <w:lang w:val="en-US"/>
        </w:rPr>
        <w:t xml:space="preserve"> </w:t>
      </w:r>
      <w:r w:rsidRPr="007E6CE6">
        <w:rPr>
          <w:b/>
          <w:bCs/>
          <w:sz w:val="18"/>
          <w:szCs w:val="18"/>
          <w:lang w:val="en-US"/>
        </w:rPr>
        <w:t>2019</w:t>
      </w:r>
      <w:r w:rsidRPr="007E6CE6">
        <w:rPr>
          <w:sz w:val="18"/>
          <w:szCs w:val="18"/>
          <w:lang w:val="en-US"/>
        </w:rPr>
        <w:t xml:space="preserve"> Jun;80(1):189-199. doi: 10.1111/prd.12275. PMID: 31090145; PMCID: PMC7328761.</w:t>
      </w:r>
    </w:p>
    <w:p w14:paraId="36BAEA3C" w14:textId="77777777" w:rsidR="004C0A3A" w:rsidRPr="007E6CE6" w:rsidRDefault="004C0A3A" w:rsidP="007E6CE6">
      <w:pPr>
        <w:pStyle w:val="Testonotadichiusura"/>
        <w:jc w:val="both"/>
        <w:rPr>
          <w:lang w:val="en-US"/>
        </w:rPr>
      </w:pPr>
    </w:p>
  </w:endnote>
  <w:endnote w:id="131">
    <w:p w14:paraId="4ADCC0B8" w14:textId="4CE23DFA" w:rsidR="004C0A3A" w:rsidRDefault="004C0A3A" w:rsidP="004C0A3A">
      <w:pPr>
        <w:pStyle w:val="Testonotadichiusura"/>
        <w:jc w:val="both"/>
        <w:rPr>
          <w:lang w:val="en-US"/>
        </w:rPr>
      </w:pPr>
      <w:r>
        <w:rPr>
          <w:rStyle w:val="Rimandonotadichiusura"/>
        </w:rPr>
        <w:endnoteRef/>
      </w:r>
      <w:r w:rsidRPr="004C0A3A">
        <w:rPr>
          <w:lang w:val="en-US"/>
        </w:rPr>
        <w:t xml:space="preserve"> </w:t>
      </w:r>
      <w:r w:rsidRPr="004C0A3A">
        <w:rPr>
          <w:sz w:val="18"/>
          <w:szCs w:val="18"/>
          <w:lang w:val="en-US"/>
        </w:rPr>
        <w:t xml:space="preserve">Tomás I, Diz P, Tobías A, Scully C, Donos N. </w:t>
      </w:r>
      <w:r w:rsidRPr="004C0A3A">
        <w:rPr>
          <w:i/>
          <w:iCs/>
          <w:sz w:val="18"/>
          <w:szCs w:val="18"/>
          <w:lang w:val="en-US"/>
        </w:rPr>
        <w:t>Periodontal health status and bacteraemia from daily oral activities: systematic review/meta-analysis.</w:t>
      </w:r>
      <w:r w:rsidRPr="004C0A3A">
        <w:rPr>
          <w:sz w:val="18"/>
          <w:szCs w:val="18"/>
          <w:lang w:val="en-US"/>
        </w:rPr>
        <w:t xml:space="preserve"> J Clin Periodontol. </w:t>
      </w:r>
      <w:r w:rsidRPr="004C0A3A">
        <w:rPr>
          <w:b/>
          <w:bCs/>
          <w:sz w:val="18"/>
          <w:szCs w:val="18"/>
          <w:lang w:val="en-US"/>
        </w:rPr>
        <w:t>2012</w:t>
      </w:r>
      <w:r w:rsidRPr="004C0A3A">
        <w:rPr>
          <w:sz w:val="18"/>
          <w:szCs w:val="18"/>
          <w:lang w:val="en-US"/>
        </w:rPr>
        <w:t xml:space="preserve"> Mar;39(3):213-28. doi: 10.1111/j.1600-051X.2011.01784.x. Epub 2011 Sep 15. PMID: 22092606.</w:t>
      </w:r>
    </w:p>
    <w:p w14:paraId="3C71002C" w14:textId="77777777" w:rsidR="004C0A3A" w:rsidRPr="004C0A3A" w:rsidRDefault="004C0A3A">
      <w:pPr>
        <w:pStyle w:val="Testonotadichiusura"/>
        <w:rPr>
          <w:lang w:val="en-US"/>
        </w:rPr>
      </w:pPr>
    </w:p>
  </w:endnote>
  <w:endnote w:id="132">
    <w:p w14:paraId="592850CB" w14:textId="6F998FCC" w:rsidR="004C0A3A" w:rsidRPr="004C0A3A" w:rsidRDefault="004C0A3A" w:rsidP="004C0A3A">
      <w:pPr>
        <w:pStyle w:val="Testonotadichiusura"/>
        <w:jc w:val="both"/>
        <w:rPr>
          <w:sz w:val="18"/>
          <w:szCs w:val="18"/>
          <w:lang w:val="en-US"/>
        </w:rPr>
      </w:pPr>
      <w:r w:rsidRPr="004C0A3A">
        <w:rPr>
          <w:rStyle w:val="Rimandonotadichiusura"/>
          <w:sz w:val="18"/>
          <w:szCs w:val="18"/>
        </w:rPr>
        <w:endnoteRef/>
      </w:r>
      <w:r w:rsidRPr="004C0A3A">
        <w:rPr>
          <w:sz w:val="18"/>
          <w:szCs w:val="18"/>
          <w:lang w:val="en-US"/>
        </w:rPr>
        <w:t xml:space="preserve"> Lockhart PB, Brennan MT, Sasser HC, Fox PC, Paster BJ, Bahrani-Mougeot FK. </w:t>
      </w:r>
      <w:r w:rsidRPr="004C0A3A">
        <w:rPr>
          <w:i/>
          <w:iCs/>
          <w:sz w:val="18"/>
          <w:szCs w:val="18"/>
          <w:lang w:val="en-US"/>
        </w:rPr>
        <w:t>Bacteremia associated with toothbrushing and dental extraction.</w:t>
      </w:r>
      <w:r w:rsidRPr="004C0A3A">
        <w:rPr>
          <w:sz w:val="18"/>
          <w:szCs w:val="18"/>
          <w:lang w:val="en-US"/>
        </w:rPr>
        <w:t xml:space="preserve"> Circulation. </w:t>
      </w:r>
      <w:r w:rsidRPr="004C0A3A">
        <w:rPr>
          <w:b/>
          <w:bCs/>
          <w:sz w:val="18"/>
          <w:szCs w:val="18"/>
          <w:lang w:val="en-US"/>
        </w:rPr>
        <w:t>2008</w:t>
      </w:r>
      <w:r w:rsidRPr="004C0A3A">
        <w:rPr>
          <w:sz w:val="18"/>
          <w:szCs w:val="18"/>
          <w:lang w:val="en-US"/>
        </w:rPr>
        <w:t xml:space="preserve"> Jun 17;117(24):3118-25. doi: 10.1161/CIRCULATIONAHA.107.758524. Epub 2008 Jun 9. PMID: 18541739; PMCID: PMC2746717.</w:t>
      </w:r>
    </w:p>
    <w:p w14:paraId="3E3F47C2" w14:textId="77777777" w:rsidR="004C0A3A" w:rsidRPr="004C0A3A" w:rsidRDefault="004C0A3A">
      <w:pPr>
        <w:pStyle w:val="Testonotadichiusura"/>
        <w:rPr>
          <w:lang w:val="en-US"/>
        </w:rPr>
      </w:pPr>
    </w:p>
  </w:endnote>
  <w:endnote w:id="133">
    <w:p w14:paraId="60881737" w14:textId="76A0D55F" w:rsidR="004C0A3A" w:rsidRPr="004C0A3A" w:rsidRDefault="004C0A3A" w:rsidP="004C0A3A">
      <w:pPr>
        <w:pStyle w:val="Testonotadichiusura"/>
        <w:jc w:val="both"/>
        <w:rPr>
          <w:lang w:val="en-US"/>
        </w:rPr>
      </w:pPr>
      <w:r>
        <w:rPr>
          <w:rStyle w:val="Rimandonotadichiusura"/>
        </w:rPr>
        <w:endnoteRef/>
      </w:r>
      <w:r w:rsidRPr="004C0A3A">
        <w:rPr>
          <w:lang w:val="en-US"/>
        </w:rPr>
        <w:t xml:space="preserve"> </w:t>
      </w:r>
      <w:r w:rsidRPr="004C0A3A">
        <w:rPr>
          <w:sz w:val="18"/>
          <w:szCs w:val="18"/>
          <w:lang w:val="en-US"/>
        </w:rPr>
        <w:t>Nagaoka K, Yanagihara K, Morinaga Y, Nakamura S, Harada T, Hasegawa H, Izumikawa K, Ishimatsu Y, Kakeya H, Nishimura M, Kohno S</w:t>
      </w:r>
      <w:r w:rsidRPr="004C0A3A">
        <w:rPr>
          <w:i/>
          <w:iCs/>
          <w:sz w:val="18"/>
          <w:szCs w:val="18"/>
          <w:lang w:val="en-US"/>
        </w:rPr>
        <w:t>. Prevotella intermedia induces severe bacteremic pneumococcal pneumonia in mice with upregulated platelet-activating factor receptor expression</w:t>
      </w:r>
      <w:r w:rsidRPr="004C0A3A">
        <w:rPr>
          <w:sz w:val="18"/>
          <w:szCs w:val="18"/>
          <w:lang w:val="en-US"/>
        </w:rPr>
        <w:t xml:space="preserve">. Infect Immun. </w:t>
      </w:r>
      <w:r w:rsidRPr="004C0A3A">
        <w:rPr>
          <w:b/>
          <w:bCs/>
          <w:sz w:val="18"/>
          <w:szCs w:val="18"/>
          <w:lang w:val="en-US"/>
        </w:rPr>
        <w:t>2014</w:t>
      </w:r>
      <w:r w:rsidRPr="004C0A3A">
        <w:rPr>
          <w:sz w:val="18"/>
          <w:szCs w:val="18"/>
          <w:lang w:val="en-US"/>
        </w:rPr>
        <w:t xml:space="preserve"> Feb;82(2):587-93. doi: 10.1128/IAI.00943-13. Epub 2013 Nov 18. PMID: 24478074; PMCID: PMC3911379.</w:t>
      </w:r>
    </w:p>
    <w:p w14:paraId="5860FA1F" w14:textId="77777777" w:rsidR="004C0A3A" w:rsidRPr="004C0A3A" w:rsidRDefault="004C0A3A">
      <w:pPr>
        <w:pStyle w:val="Testonotadichiusura"/>
        <w:rPr>
          <w:lang w:val="en-US"/>
        </w:rPr>
      </w:pPr>
    </w:p>
  </w:endnote>
  <w:endnote w:id="134">
    <w:p w14:paraId="104BF276" w14:textId="4F7D1DBB" w:rsidR="004C0A3A" w:rsidRPr="004C0A3A" w:rsidRDefault="004C0A3A" w:rsidP="004C0A3A">
      <w:pPr>
        <w:pStyle w:val="Testonotadichiusura"/>
        <w:jc w:val="both"/>
        <w:rPr>
          <w:lang w:val="en-US"/>
        </w:rPr>
      </w:pPr>
      <w:r>
        <w:rPr>
          <w:rStyle w:val="Rimandonotadichiusura"/>
        </w:rPr>
        <w:endnoteRef/>
      </w:r>
      <w:r w:rsidRPr="004C0A3A">
        <w:rPr>
          <w:lang w:val="en-US"/>
        </w:rPr>
        <w:t xml:space="preserve"> </w:t>
      </w:r>
      <w:r w:rsidRPr="004C0A3A">
        <w:rPr>
          <w:sz w:val="18"/>
          <w:szCs w:val="18"/>
          <w:lang w:val="en-US"/>
        </w:rPr>
        <w:t xml:space="preserve">Ashizawa H, Iwanaga N, Nemoto K, Hirayama T, Yoshida M, Takeda K, Ide S, Tashiro M, Hosogaya N, Takazono T, Kosai K, Sakamoto N, Izumikawa K, Naito M, Tanaka Y, Yanagihara K, Yatera K, Mukae H. </w:t>
      </w:r>
      <w:r w:rsidRPr="004C0A3A">
        <w:rPr>
          <w:i/>
          <w:iCs/>
          <w:sz w:val="18"/>
          <w:szCs w:val="18"/>
          <w:lang w:val="en-US"/>
        </w:rPr>
        <w:t>Prevotella intermedia Synergistically Exacerbates Pneumonia Induced by Oral Streptococci.</w:t>
      </w:r>
      <w:r w:rsidRPr="004C0A3A">
        <w:rPr>
          <w:sz w:val="18"/>
          <w:szCs w:val="18"/>
          <w:lang w:val="en-US"/>
        </w:rPr>
        <w:t xml:space="preserve"> J Infect Dis. </w:t>
      </w:r>
      <w:r w:rsidRPr="004C0A3A">
        <w:rPr>
          <w:b/>
          <w:bCs/>
          <w:sz w:val="18"/>
          <w:szCs w:val="18"/>
          <w:lang w:val="en-US"/>
        </w:rPr>
        <w:t>2025</w:t>
      </w:r>
      <w:r w:rsidRPr="004C0A3A">
        <w:rPr>
          <w:sz w:val="18"/>
          <w:szCs w:val="18"/>
          <w:lang w:val="en-US"/>
        </w:rPr>
        <w:t xml:space="preserve"> Aug 14;232(2):e280-e289. doi: 10.1093/infdis/jiaf278. PMID: 40424590; PMCID: PMC12349947.</w:t>
      </w:r>
    </w:p>
    <w:p w14:paraId="70C92AB0" w14:textId="77777777" w:rsidR="004C0A3A" w:rsidRPr="004C0A3A" w:rsidRDefault="004C0A3A">
      <w:pPr>
        <w:pStyle w:val="Testonotadichiusura"/>
        <w:rPr>
          <w:lang w:val="en-US"/>
        </w:rPr>
      </w:pPr>
    </w:p>
  </w:endnote>
  <w:endnote w:id="135">
    <w:p w14:paraId="63CA2048" w14:textId="277F8F00" w:rsidR="006F024F" w:rsidRPr="006F024F" w:rsidRDefault="006F024F" w:rsidP="006F024F">
      <w:pPr>
        <w:pStyle w:val="Testonotadichiusura"/>
        <w:jc w:val="both"/>
        <w:rPr>
          <w:sz w:val="18"/>
          <w:szCs w:val="18"/>
          <w:lang w:val="en-US"/>
        </w:rPr>
      </w:pPr>
      <w:r>
        <w:rPr>
          <w:rStyle w:val="Rimandonotadichiusura"/>
        </w:rPr>
        <w:endnoteRef/>
      </w:r>
      <w:r w:rsidRPr="006F024F">
        <w:rPr>
          <w:lang w:val="en-US"/>
        </w:rPr>
        <w:t xml:space="preserve"> </w:t>
      </w:r>
      <w:r w:rsidRPr="006F024F">
        <w:rPr>
          <w:sz w:val="18"/>
          <w:szCs w:val="18"/>
          <w:lang w:val="en-US"/>
        </w:rPr>
        <w:t xml:space="preserve">Zhou Y, Qin Y, Ma J, Li Z, Heng W, Zhang L, Liu H, Li R, Zhang M, Peng Q, Ye P, Duan N, Liu T, Wang W, Wang X. </w:t>
      </w:r>
      <w:r w:rsidRPr="006F024F">
        <w:rPr>
          <w:i/>
          <w:iCs/>
          <w:sz w:val="18"/>
          <w:szCs w:val="18"/>
          <w:lang w:val="en-US"/>
        </w:rPr>
        <w:t>Heat-killed Prevotella intermedia promotes the progression of oral squamous cell carcinoma by inhibiting the expression of tumor suppressors and affecting the tumor microenvironment</w:t>
      </w:r>
      <w:r w:rsidRPr="006F024F">
        <w:rPr>
          <w:sz w:val="18"/>
          <w:szCs w:val="18"/>
          <w:lang w:val="en-US"/>
        </w:rPr>
        <w:t xml:space="preserve">. Exp Hematol Oncol. </w:t>
      </w:r>
      <w:r w:rsidRPr="006F024F">
        <w:rPr>
          <w:b/>
          <w:bCs/>
          <w:sz w:val="18"/>
          <w:szCs w:val="18"/>
          <w:lang w:val="en-US"/>
        </w:rPr>
        <w:t>2024</w:t>
      </w:r>
      <w:r w:rsidRPr="006F024F">
        <w:rPr>
          <w:sz w:val="18"/>
          <w:szCs w:val="18"/>
          <w:lang w:val="en-US"/>
        </w:rPr>
        <w:t xml:space="preserve"> Mar 21;13(1):33. doi: 10.1186/s40164-024-00500-y. PMID: 38515216; PMCID: PMC10956211.</w:t>
      </w:r>
    </w:p>
    <w:p w14:paraId="1CFEC95E" w14:textId="77777777" w:rsidR="006F024F" w:rsidRPr="006F024F" w:rsidRDefault="006F024F">
      <w:pPr>
        <w:pStyle w:val="Testonotadichiusura"/>
        <w:rPr>
          <w:lang w:val="en-US"/>
        </w:rPr>
      </w:pPr>
    </w:p>
  </w:endnote>
  <w:endnote w:id="136">
    <w:p w14:paraId="2ADA602D" w14:textId="77777777" w:rsidR="00264C61" w:rsidRPr="00C44CC1" w:rsidRDefault="00264C61" w:rsidP="00264C61">
      <w:pPr>
        <w:pStyle w:val="Testonotadichiusura"/>
        <w:jc w:val="both"/>
        <w:rPr>
          <w:lang w:val="en-US"/>
        </w:rPr>
      </w:pPr>
      <w:r>
        <w:rPr>
          <w:rStyle w:val="Rimandonotadichiusura"/>
        </w:rPr>
        <w:endnoteRef/>
      </w:r>
      <w:r w:rsidRPr="00427A44">
        <w:rPr>
          <w:lang w:val="en-US"/>
        </w:rPr>
        <w:t xml:space="preserve"> </w:t>
      </w:r>
      <w:r w:rsidRPr="00427A44">
        <w:rPr>
          <w:sz w:val="18"/>
          <w:szCs w:val="18"/>
          <w:lang w:val="en-US"/>
        </w:rPr>
        <w:t xml:space="preserve">Lo CH, Wu DC, Jao SW, Wu CC, Lin CY, Chuang CH, Lin YB, Chen CH, Chen YT, Chen JH, Hsiao KH, Chen YJ, Chen YT, Wang JY, Li LH. </w:t>
      </w:r>
      <w:r w:rsidRPr="00427A44">
        <w:rPr>
          <w:i/>
          <w:iCs/>
          <w:sz w:val="18"/>
          <w:szCs w:val="18"/>
          <w:lang w:val="en-US"/>
        </w:rPr>
        <w:t>Enrichment of Prevotella intermedia in human colorectal cancer and its additive effects with Fusobacterium nucleatum on the malignant transformation of colorectal adenomas</w:t>
      </w:r>
      <w:r w:rsidRPr="00427A44">
        <w:rPr>
          <w:sz w:val="18"/>
          <w:szCs w:val="18"/>
          <w:lang w:val="en-US"/>
        </w:rPr>
        <w:t xml:space="preserve">. </w:t>
      </w:r>
      <w:r w:rsidRPr="00C44CC1">
        <w:rPr>
          <w:sz w:val="18"/>
          <w:szCs w:val="18"/>
          <w:lang w:val="en-US"/>
        </w:rPr>
        <w:t xml:space="preserve">J Biomed Sci. </w:t>
      </w:r>
      <w:r w:rsidRPr="00C44CC1">
        <w:rPr>
          <w:b/>
          <w:bCs/>
          <w:sz w:val="18"/>
          <w:szCs w:val="18"/>
          <w:lang w:val="en-US"/>
        </w:rPr>
        <w:t>2022</w:t>
      </w:r>
      <w:r w:rsidRPr="00C44CC1">
        <w:rPr>
          <w:sz w:val="18"/>
          <w:szCs w:val="18"/>
          <w:lang w:val="en-US"/>
        </w:rPr>
        <w:t xml:space="preserve"> Oct 27;29(1):88. doi: 10.1186/s12929-022-00869-0. PMID: 36303164; PMCID: PMC9615364.</w:t>
      </w:r>
    </w:p>
    <w:p w14:paraId="16A86682" w14:textId="77777777" w:rsidR="00264C61" w:rsidRPr="00C44CC1" w:rsidRDefault="00264C61" w:rsidP="00264C61">
      <w:pPr>
        <w:pStyle w:val="Testonotadichiusura"/>
        <w:ind w:left="720"/>
        <w:jc w:val="both"/>
        <w:rPr>
          <w:lang w:val="en-US"/>
        </w:rPr>
      </w:pPr>
    </w:p>
  </w:endnote>
  <w:endnote w:id="137">
    <w:p w14:paraId="76A318CC" w14:textId="77777777" w:rsidR="006F024F" w:rsidRDefault="006F024F" w:rsidP="006F024F">
      <w:pPr>
        <w:pStyle w:val="Testonotadichiusura"/>
        <w:jc w:val="both"/>
        <w:rPr>
          <w:sz w:val="18"/>
          <w:szCs w:val="18"/>
          <w:lang w:val="en-US"/>
        </w:rPr>
      </w:pPr>
      <w:r>
        <w:rPr>
          <w:rStyle w:val="Rimandonotadichiusura"/>
        </w:rPr>
        <w:endnoteRef/>
      </w:r>
      <w:r w:rsidRPr="009F0F88">
        <w:rPr>
          <w:lang w:val="en-US"/>
        </w:rPr>
        <w:t xml:space="preserve"> </w:t>
      </w:r>
      <w:r w:rsidRPr="009F0F88">
        <w:rPr>
          <w:sz w:val="18"/>
          <w:szCs w:val="18"/>
          <w:lang w:val="en-US"/>
        </w:rPr>
        <w:t xml:space="preserve">Xu W, Han D, Chen T, Wang Q. </w:t>
      </w:r>
      <w:r w:rsidRPr="009F0F88">
        <w:rPr>
          <w:i/>
          <w:iCs/>
          <w:sz w:val="18"/>
          <w:szCs w:val="18"/>
          <w:lang w:val="en-US"/>
        </w:rPr>
        <w:t>Infected pericardial effusion caused by Prevotella intermedia: a rare diagnosis.</w:t>
      </w:r>
      <w:r w:rsidRPr="009F0F88">
        <w:rPr>
          <w:sz w:val="18"/>
          <w:szCs w:val="18"/>
          <w:lang w:val="en-US"/>
        </w:rPr>
        <w:t xml:space="preserve"> Front Cell Infect Microbiol. </w:t>
      </w:r>
      <w:r w:rsidRPr="009F0F88">
        <w:rPr>
          <w:b/>
          <w:bCs/>
          <w:sz w:val="18"/>
          <w:szCs w:val="18"/>
          <w:lang w:val="en-US"/>
        </w:rPr>
        <w:t>2025</w:t>
      </w:r>
      <w:r w:rsidRPr="009F0F88">
        <w:rPr>
          <w:sz w:val="18"/>
          <w:szCs w:val="18"/>
          <w:lang w:val="en-US"/>
        </w:rPr>
        <w:t xml:space="preserve"> Jun 16;15:1612282. doi: 10.3389/fcimb.2025.1612282. PMID: 40589867; PMCID: PMC12206786.</w:t>
      </w:r>
    </w:p>
    <w:p w14:paraId="69FB3C39" w14:textId="77777777" w:rsidR="006F024F" w:rsidRPr="009F0F88" w:rsidRDefault="006F024F" w:rsidP="006F024F">
      <w:pPr>
        <w:pStyle w:val="Testonotadichiusura"/>
        <w:jc w:val="both"/>
        <w:rPr>
          <w:lang w:val="en-US"/>
        </w:rPr>
      </w:pPr>
    </w:p>
  </w:endnote>
  <w:endnote w:id="138">
    <w:p w14:paraId="38254C9F" w14:textId="2A8444F2" w:rsidR="00D62F67" w:rsidRPr="00F97FD6" w:rsidRDefault="00D62F67" w:rsidP="00D62F67">
      <w:pPr>
        <w:pStyle w:val="Testonotadichiusura"/>
        <w:jc w:val="both"/>
        <w:rPr>
          <w:lang w:val="en-US"/>
        </w:rPr>
      </w:pPr>
      <w:r>
        <w:rPr>
          <w:rStyle w:val="Rimandonotadichiusura"/>
        </w:rPr>
        <w:endnoteRef/>
      </w:r>
      <w:r w:rsidRPr="00D62F67">
        <w:rPr>
          <w:lang w:val="en-US"/>
        </w:rPr>
        <w:t xml:space="preserve"> </w:t>
      </w:r>
      <w:r w:rsidRPr="00D62F67">
        <w:rPr>
          <w:sz w:val="18"/>
          <w:szCs w:val="18"/>
          <w:lang w:val="en-US"/>
        </w:rPr>
        <w:t xml:space="preserve">Lopes MP, Cruz ÁA, Xavier MT, Stöcker A, Carvalho-Filho P, Miranda PM, Meyer RJ, Soledade KR, Gomes-Filho IS, Trindade SC. </w:t>
      </w:r>
      <w:r w:rsidRPr="00D62F67">
        <w:rPr>
          <w:i/>
          <w:iCs/>
          <w:sz w:val="18"/>
          <w:szCs w:val="18"/>
          <w:lang w:val="en-US"/>
        </w:rPr>
        <w:t>Prevotella intermedia and periodontitis are associated with severe asthma</w:t>
      </w:r>
      <w:r w:rsidRPr="00D62F67">
        <w:rPr>
          <w:sz w:val="18"/>
          <w:szCs w:val="18"/>
          <w:lang w:val="en-US"/>
        </w:rPr>
        <w:t xml:space="preserve">. J Periodontol. </w:t>
      </w:r>
      <w:r w:rsidRPr="00F97FD6">
        <w:rPr>
          <w:b/>
          <w:bCs/>
          <w:sz w:val="18"/>
          <w:szCs w:val="18"/>
          <w:lang w:val="en-US"/>
        </w:rPr>
        <w:t>2020</w:t>
      </w:r>
      <w:r w:rsidRPr="00F97FD6">
        <w:rPr>
          <w:sz w:val="18"/>
          <w:szCs w:val="18"/>
          <w:lang w:val="en-US"/>
        </w:rPr>
        <w:t xml:space="preserve"> Jan;91(1):46-54. doi: 10.1002/JPER.19-0065. Epub 2019 Aug 16. PMID: 31342509.</w:t>
      </w:r>
    </w:p>
    <w:p w14:paraId="17B11659" w14:textId="77777777" w:rsidR="00D62F67" w:rsidRPr="00D62F67" w:rsidRDefault="00D62F67">
      <w:pPr>
        <w:pStyle w:val="Testonotadichiusura"/>
        <w:rPr>
          <w:lang w:val="en-US"/>
        </w:rPr>
      </w:pPr>
    </w:p>
  </w:endnote>
  <w:endnote w:id="139">
    <w:p w14:paraId="70DED1B3" w14:textId="77777777" w:rsidR="00264C61" w:rsidRPr="00D65647" w:rsidRDefault="00264C61" w:rsidP="00264C61">
      <w:pPr>
        <w:pStyle w:val="Testonotadichiusura"/>
        <w:jc w:val="both"/>
        <w:rPr>
          <w:sz w:val="18"/>
          <w:szCs w:val="18"/>
          <w:lang w:val="en-US"/>
        </w:rPr>
      </w:pPr>
      <w:r>
        <w:rPr>
          <w:rStyle w:val="Rimandonotadichiusura"/>
        </w:rPr>
        <w:endnoteRef/>
      </w:r>
      <w:r w:rsidRPr="00D65647">
        <w:rPr>
          <w:lang w:val="en-US"/>
        </w:rPr>
        <w:t xml:space="preserve"> </w:t>
      </w:r>
      <w:r w:rsidRPr="00D65647">
        <w:rPr>
          <w:sz w:val="18"/>
          <w:szCs w:val="18"/>
          <w:lang w:val="en-US"/>
        </w:rPr>
        <w:t xml:space="preserve">Kotrashetti VS, Bhat KG, Kumbar VM, Naik SS. </w:t>
      </w:r>
      <w:r w:rsidRPr="00D65647">
        <w:rPr>
          <w:i/>
          <w:iCs/>
          <w:sz w:val="18"/>
          <w:szCs w:val="18"/>
          <w:lang w:val="en-US"/>
        </w:rPr>
        <w:t>Isolation, identification, and quantification of Prevotella intermedia and Prevotella nigrescens in subgingival plaque samples of periodontally healthy and chronic periodontitis patients through chromogenic in situ hybridization</w:t>
      </w:r>
      <w:r w:rsidRPr="00D65647">
        <w:rPr>
          <w:sz w:val="18"/>
          <w:szCs w:val="18"/>
          <w:lang w:val="en-US"/>
        </w:rPr>
        <w:t xml:space="preserve">. J Indian Soc Periodontol. </w:t>
      </w:r>
      <w:r w:rsidRPr="00D65647">
        <w:rPr>
          <w:b/>
          <w:bCs/>
          <w:sz w:val="18"/>
          <w:szCs w:val="18"/>
          <w:lang w:val="en-US"/>
        </w:rPr>
        <w:t>2024</w:t>
      </w:r>
      <w:r w:rsidRPr="00D65647">
        <w:rPr>
          <w:sz w:val="18"/>
          <w:szCs w:val="18"/>
          <w:lang w:val="en-US"/>
        </w:rPr>
        <w:t xml:space="preserve"> Jul-Aug;28(4):443-448. doi: 10.4103/jisp.jisp_99_23. Epub 2025 Jan 6. PMID: 40018721; PMCID: PMC11864337.</w:t>
      </w:r>
    </w:p>
    <w:p w14:paraId="2F1FC3F1" w14:textId="77777777" w:rsidR="00264C61" w:rsidRPr="00D65647" w:rsidRDefault="00264C61" w:rsidP="00264C61">
      <w:pPr>
        <w:pStyle w:val="Testonotadichiusura"/>
        <w:jc w:val="both"/>
        <w:rPr>
          <w:lang w:val="en-US"/>
        </w:rPr>
      </w:pPr>
    </w:p>
  </w:endnote>
  <w:endnote w:id="140">
    <w:p w14:paraId="70ACB2AA" w14:textId="77777777" w:rsidR="00264C61" w:rsidRPr="00D65647" w:rsidRDefault="00264C61" w:rsidP="00264C61">
      <w:pPr>
        <w:pStyle w:val="Testonotadichiusura"/>
        <w:jc w:val="both"/>
        <w:rPr>
          <w:lang w:val="en-US"/>
        </w:rPr>
      </w:pPr>
      <w:r>
        <w:rPr>
          <w:rStyle w:val="Rimandonotadichiusura"/>
        </w:rPr>
        <w:endnoteRef/>
      </w:r>
      <w:r w:rsidRPr="00D65647">
        <w:rPr>
          <w:lang w:val="en-US"/>
        </w:rPr>
        <w:t xml:space="preserve"> </w:t>
      </w:r>
      <w:r w:rsidRPr="00D65647">
        <w:rPr>
          <w:sz w:val="18"/>
          <w:szCs w:val="18"/>
          <w:lang w:val="en-US"/>
        </w:rPr>
        <w:t xml:space="preserve">Warrier DE, Jacob C. </w:t>
      </w:r>
      <w:r w:rsidRPr="00D65647">
        <w:rPr>
          <w:i/>
          <w:iCs/>
          <w:sz w:val="18"/>
          <w:szCs w:val="18"/>
          <w:lang w:val="en-US"/>
        </w:rPr>
        <w:t>Isolation, transportation and culture method of Prevotella intermedia: A review</w:t>
      </w:r>
      <w:r w:rsidRPr="00D65647">
        <w:rPr>
          <w:sz w:val="18"/>
          <w:szCs w:val="18"/>
          <w:lang w:val="en-US"/>
        </w:rPr>
        <w:t xml:space="preserve">. Int J Res Trends Innov. </w:t>
      </w:r>
      <w:r w:rsidRPr="00D65647">
        <w:rPr>
          <w:b/>
          <w:bCs/>
          <w:sz w:val="18"/>
          <w:szCs w:val="18"/>
          <w:lang w:val="en-US"/>
        </w:rPr>
        <w:t>2020</w:t>
      </w:r>
      <w:r w:rsidRPr="00D65647">
        <w:rPr>
          <w:sz w:val="18"/>
          <w:szCs w:val="18"/>
          <w:lang w:val="en-US"/>
        </w:rPr>
        <w:t>;5(1)</w:t>
      </w:r>
    </w:p>
    <w:p w14:paraId="2C4F13DA" w14:textId="77777777" w:rsidR="00264C61" w:rsidRPr="00D65647" w:rsidRDefault="00264C61" w:rsidP="00264C61">
      <w:pPr>
        <w:pStyle w:val="Testonotadichiusura"/>
        <w:jc w:val="both"/>
        <w:rPr>
          <w:lang w:val="en-US"/>
        </w:rPr>
      </w:pPr>
    </w:p>
  </w:endnote>
  <w:endnote w:id="141">
    <w:p w14:paraId="59101429" w14:textId="77777777" w:rsidR="00AD3CDD" w:rsidRPr="00AD3CDD" w:rsidRDefault="00AD3CDD" w:rsidP="0072132A">
      <w:pPr>
        <w:pStyle w:val="Testonotadichiusura"/>
        <w:jc w:val="both"/>
        <w:rPr>
          <w:lang w:val="en-US"/>
        </w:rPr>
      </w:pPr>
      <w:r>
        <w:rPr>
          <w:rStyle w:val="Rimandonotadichiusura"/>
        </w:rPr>
        <w:endnoteRef/>
      </w:r>
      <w:r w:rsidRPr="00AD3CDD">
        <w:rPr>
          <w:lang w:val="en-US"/>
        </w:rPr>
        <w:t xml:space="preserve"> </w:t>
      </w:r>
      <w:r w:rsidRPr="00AD3CDD">
        <w:rPr>
          <w:sz w:val="18"/>
          <w:szCs w:val="18"/>
          <w:lang w:val="en-US"/>
        </w:rPr>
        <w:t xml:space="preserve">Nannan M, Xiaoping L, Ying J. </w:t>
      </w:r>
      <w:r w:rsidRPr="00AD3CDD">
        <w:rPr>
          <w:i/>
          <w:iCs/>
          <w:sz w:val="18"/>
          <w:szCs w:val="18"/>
          <w:lang w:val="en-US"/>
        </w:rPr>
        <w:t>Periodontal disease in pregnancy and adverse pregnancy outcomes: Progress in related mechanisms and management strategies.</w:t>
      </w:r>
      <w:r w:rsidRPr="00AD3CDD">
        <w:rPr>
          <w:sz w:val="18"/>
          <w:szCs w:val="18"/>
          <w:lang w:val="en-US"/>
        </w:rPr>
        <w:t xml:space="preserve"> Front Med (Lausanne). </w:t>
      </w:r>
      <w:r w:rsidRPr="00AD3CDD">
        <w:rPr>
          <w:b/>
          <w:bCs/>
          <w:sz w:val="18"/>
          <w:szCs w:val="18"/>
          <w:lang w:val="en-US"/>
        </w:rPr>
        <w:t xml:space="preserve">2022 </w:t>
      </w:r>
      <w:r w:rsidRPr="00AD3CDD">
        <w:rPr>
          <w:sz w:val="18"/>
          <w:szCs w:val="18"/>
          <w:lang w:val="en-US"/>
        </w:rPr>
        <w:t>Oct 25;9:963956. doi: 10.3389/fmed.2022.963956. PMID: 36388896; PMCID: PMC964077</w:t>
      </w:r>
    </w:p>
    <w:p w14:paraId="7A6B02B5" w14:textId="7AFEB9C7" w:rsidR="00AD3CDD" w:rsidRPr="00AD3CDD" w:rsidRDefault="00AD3CDD" w:rsidP="0072132A">
      <w:pPr>
        <w:pStyle w:val="Testonotadichiusura"/>
        <w:jc w:val="both"/>
        <w:rPr>
          <w:lang w:val="en-US"/>
        </w:rPr>
      </w:pPr>
    </w:p>
  </w:endnote>
  <w:endnote w:id="142">
    <w:p w14:paraId="329D86E3" w14:textId="08875DE5" w:rsidR="00AD3CDD" w:rsidRPr="00AD3CDD" w:rsidRDefault="00AD3CDD" w:rsidP="0072132A">
      <w:pPr>
        <w:pStyle w:val="Testonotadichiusura"/>
        <w:jc w:val="both"/>
        <w:rPr>
          <w:lang w:val="en-US"/>
        </w:rPr>
      </w:pPr>
      <w:r>
        <w:rPr>
          <w:rStyle w:val="Rimandonotadichiusura"/>
        </w:rPr>
        <w:endnoteRef/>
      </w:r>
      <w:r w:rsidRPr="00AD3CDD">
        <w:rPr>
          <w:lang w:val="en-US"/>
        </w:rPr>
        <w:t xml:space="preserve"> </w:t>
      </w:r>
      <w:r w:rsidRPr="00AD3CDD">
        <w:rPr>
          <w:sz w:val="18"/>
          <w:szCs w:val="18"/>
          <w:lang w:val="en-US"/>
        </w:rPr>
        <w:t xml:space="preserve">Ilhan ZE, Łaniewski P, Tonachio A, Herbst-Kralovetz MM. </w:t>
      </w:r>
      <w:r w:rsidRPr="00AD3CDD">
        <w:rPr>
          <w:i/>
          <w:iCs/>
          <w:sz w:val="18"/>
          <w:szCs w:val="18"/>
          <w:lang w:val="en-US"/>
        </w:rPr>
        <w:t xml:space="preserve">Members of Prevotella Genus Distinctively Modulate Innate Immune and Barrier Functions in a Human Three-Dimensional Endometrial Epithelial Cell Model. </w:t>
      </w:r>
      <w:r w:rsidRPr="00AD3CDD">
        <w:rPr>
          <w:sz w:val="18"/>
          <w:szCs w:val="18"/>
          <w:lang w:val="en-US"/>
        </w:rPr>
        <w:t xml:space="preserve">J Infect Dis. </w:t>
      </w:r>
      <w:r w:rsidRPr="00AD3CDD">
        <w:rPr>
          <w:b/>
          <w:bCs/>
          <w:sz w:val="18"/>
          <w:szCs w:val="18"/>
          <w:lang w:val="en-US"/>
        </w:rPr>
        <w:t xml:space="preserve">2020 </w:t>
      </w:r>
      <w:r w:rsidRPr="00AD3CDD">
        <w:rPr>
          <w:sz w:val="18"/>
          <w:szCs w:val="18"/>
          <w:lang w:val="en-US"/>
        </w:rPr>
        <w:t>Nov 13;222(12):2082-2092. doi: 10.1093/infdis/jiaa324. PMID: 32515473; PMCID: PMC7661762.</w:t>
      </w:r>
    </w:p>
    <w:p w14:paraId="3E910C9C" w14:textId="77777777" w:rsidR="00AD3CDD" w:rsidRPr="00D62F67" w:rsidRDefault="00AD3CDD" w:rsidP="00D62F67">
      <w:pPr>
        <w:pStyle w:val="Testonotadichiusura"/>
        <w:jc w:val="both"/>
        <w:rPr>
          <w:sz w:val="18"/>
          <w:szCs w:val="18"/>
          <w:lang w:val="en-US"/>
        </w:rPr>
      </w:pPr>
    </w:p>
  </w:endnote>
  <w:endnote w:id="143">
    <w:p w14:paraId="19216F85" w14:textId="77777777" w:rsidR="00E363D9" w:rsidRPr="00DE228E" w:rsidRDefault="00E363D9" w:rsidP="0072132A">
      <w:pPr>
        <w:spacing w:after="120"/>
        <w:jc w:val="both"/>
        <w:rPr>
          <w:sz w:val="18"/>
          <w:szCs w:val="18"/>
          <w:lang w:val="en-US"/>
        </w:rPr>
      </w:pPr>
      <w:r w:rsidRPr="004B10DC">
        <w:rPr>
          <w:rStyle w:val="Rimandonotadichiusura"/>
          <w:sz w:val="18"/>
          <w:szCs w:val="18"/>
        </w:rPr>
        <w:endnoteRef/>
      </w:r>
      <w:r w:rsidRPr="004B10DC">
        <w:rPr>
          <w:sz w:val="18"/>
          <w:szCs w:val="18"/>
          <w:lang w:val="en-US"/>
        </w:rPr>
        <w:t xml:space="preserve"> Sandros J, Papapanou PN, Nannmark U, Dahlen G.</w:t>
      </w:r>
      <w:r>
        <w:rPr>
          <w:sz w:val="18"/>
          <w:szCs w:val="18"/>
          <w:lang w:val="en-US"/>
        </w:rPr>
        <w:t xml:space="preserve"> </w:t>
      </w:r>
      <w:r w:rsidRPr="0059122B">
        <w:rPr>
          <w:i/>
          <w:iCs/>
          <w:sz w:val="18"/>
          <w:szCs w:val="18"/>
          <w:lang w:val="en-US"/>
        </w:rPr>
        <w:t>Porphyromonas gingivalis invades human pocket epithelium in vitro. J Periodontal Res</w:t>
      </w:r>
      <w:r w:rsidRPr="00DE228E">
        <w:rPr>
          <w:sz w:val="18"/>
          <w:szCs w:val="18"/>
          <w:lang w:val="en-US"/>
        </w:rPr>
        <w:t xml:space="preserve">. </w:t>
      </w:r>
      <w:r w:rsidRPr="00994A34">
        <w:rPr>
          <w:b/>
          <w:sz w:val="18"/>
          <w:szCs w:val="18"/>
          <w:lang w:val="en-US"/>
        </w:rPr>
        <w:t>1994</w:t>
      </w:r>
      <w:r w:rsidRPr="004B10DC">
        <w:rPr>
          <w:sz w:val="18"/>
          <w:szCs w:val="18"/>
          <w:lang w:val="en-US"/>
        </w:rPr>
        <w:t xml:space="preserve"> </w:t>
      </w:r>
      <w:r>
        <w:rPr>
          <w:sz w:val="18"/>
          <w:szCs w:val="18"/>
          <w:lang w:val="en-US"/>
        </w:rPr>
        <w:t xml:space="preserve"> </w:t>
      </w:r>
      <w:r w:rsidRPr="00DE228E">
        <w:rPr>
          <w:sz w:val="18"/>
          <w:szCs w:val="18"/>
          <w:lang w:val="en-US"/>
        </w:rPr>
        <w:t>29(1):62-9.</w:t>
      </w:r>
    </w:p>
  </w:endnote>
  <w:endnote w:id="144">
    <w:p w14:paraId="76CAC2FE" w14:textId="77777777" w:rsidR="001F0504" w:rsidRPr="00F97FD6" w:rsidRDefault="001F0504" w:rsidP="001F0504">
      <w:pPr>
        <w:pStyle w:val="Testonotadichiusura"/>
        <w:jc w:val="both"/>
        <w:rPr>
          <w:lang w:val="en-US"/>
        </w:rPr>
      </w:pPr>
      <w:r>
        <w:rPr>
          <w:rStyle w:val="Rimandonotadichiusura"/>
        </w:rPr>
        <w:endnoteRef/>
      </w:r>
      <w:r w:rsidRPr="001F0504">
        <w:rPr>
          <w:lang w:val="en-US"/>
        </w:rPr>
        <w:t xml:space="preserve"> </w:t>
      </w:r>
      <w:r w:rsidRPr="001F0504">
        <w:rPr>
          <w:sz w:val="18"/>
          <w:szCs w:val="18"/>
          <w:lang w:val="en-US"/>
        </w:rPr>
        <w:t xml:space="preserve">Miller WD. </w:t>
      </w:r>
      <w:r w:rsidRPr="001F0504">
        <w:rPr>
          <w:i/>
          <w:iCs/>
          <w:sz w:val="18"/>
          <w:szCs w:val="18"/>
          <w:lang w:val="en-US"/>
        </w:rPr>
        <w:t>The human mouth as a focus of infection</w:t>
      </w:r>
      <w:r w:rsidRPr="001F0504">
        <w:rPr>
          <w:sz w:val="18"/>
          <w:szCs w:val="18"/>
          <w:lang w:val="en-US"/>
        </w:rPr>
        <w:t xml:space="preserve">. </w:t>
      </w:r>
      <w:r w:rsidRPr="00F97FD6">
        <w:rPr>
          <w:sz w:val="18"/>
          <w:szCs w:val="18"/>
          <w:lang w:val="en-US"/>
        </w:rPr>
        <w:t xml:space="preserve">Dental Cosmos. </w:t>
      </w:r>
      <w:r w:rsidRPr="00F97FD6">
        <w:rPr>
          <w:b/>
          <w:bCs/>
          <w:sz w:val="18"/>
          <w:szCs w:val="18"/>
          <w:lang w:val="en-US"/>
        </w:rPr>
        <w:t>1891</w:t>
      </w:r>
      <w:r w:rsidRPr="00F97FD6">
        <w:rPr>
          <w:sz w:val="18"/>
          <w:szCs w:val="18"/>
          <w:lang w:val="en-US"/>
        </w:rPr>
        <w:t>;33:689–713.</w:t>
      </w:r>
    </w:p>
    <w:p w14:paraId="4A403943" w14:textId="5BA7708D" w:rsidR="001F0504" w:rsidRPr="00F97FD6" w:rsidRDefault="001F0504">
      <w:pPr>
        <w:pStyle w:val="Testonotadichiusura"/>
        <w:rPr>
          <w:lang w:val="en-US"/>
        </w:rPr>
      </w:pPr>
    </w:p>
  </w:endnote>
  <w:endnote w:id="145">
    <w:p w14:paraId="32C012C4" w14:textId="77777777" w:rsidR="00E363D9" w:rsidRPr="004B10DC" w:rsidRDefault="00E363D9" w:rsidP="0072132A">
      <w:pPr>
        <w:spacing w:after="120"/>
        <w:jc w:val="both"/>
        <w:rPr>
          <w:sz w:val="18"/>
          <w:szCs w:val="18"/>
          <w:lang w:val="en-US"/>
        </w:rPr>
      </w:pPr>
      <w:r w:rsidRPr="004B10DC">
        <w:rPr>
          <w:rStyle w:val="Rimandonotadichiusura"/>
          <w:sz w:val="18"/>
          <w:szCs w:val="18"/>
        </w:rPr>
        <w:endnoteRef/>
      </w:r>
      <w:r w:rsidRPr="004B10DC">
        <w:rPr>
          <w:sz w:val="18"/>
          <w:szCs w:val="18"/>
          <w:lang w:val="en-US"/>
        </w:rPr>
        <w:t xml:space="preserve"> </w:t>
      </w:r>
      <w:r w:rsidRPr="004B10DC">
        <w:rPr>
          <w:color w:val="212121"/>
          <w:sz w:val="18"/>
          <w:szCs w:val="18"/>
          <w:shd w:val="clear" w:color="auto" w:fill="FFFFFF"/>
          <w:lang w:val="en-US"/>
        </w:rPr>
        <w:t xml:space="preserve">Scannapieco FA. </w:t>
      </w:r>
      <w:r w:rsidRPr="0059122B">
        <w:rPr>
          <w:i/>
          <w:iCs/>
          <w:color w:val="212121"/>
          <w:sz w:val="18"/>
          <w:szCs w:val="18"/>
          <w:shd w:val="clear" w:color="auto" w:fill="FFFFFF"/>
          <w:lang w:val="en-US"/>
        </w:rPr>
        <w:t>Position paper of The American Academy of Periodontology: periodontal disease as a potential risk factor for systemic diseases. J Periodontol.</w:t>
      </w:r>
      <w:r w:rsidRPr="004B10DC">
        <w:rPr>
          <w:color w:val="212121"/>
          <w:sz w:val="18"/>
          <w:szCs w:val="18"/>
          <w:shd w:val="clear" w:color="auto" w:fill="FFFFFF"/>
          <w:lang w:val="en-US"/>
        </w:rPr>
        <w:t xml:space="preserve"> </w:t>
      </w:r>
      <w:r w:rsidRPr="00994A34">
        <w:rPr>
          <w:b/>
          <w:color w:val="212121"/>
          <w:sz w:val="18"/>
          <w:szCs w:val="18"/>
          <w:shd w:val="clear" w:color="auto" w:fill="FFFFFF"/>
          <w:lang w:val="en-US"/>
        </w:rPr>
        <w:t xml:space="preserve">1998 </w:t>
      </w:r>
      <w:r w:rsidRPr="004B10DC">
        <w:rPr>
          <w:color w:val="212121"/>
          <w:sz w:val="18"/>
          <w:szCs w:val="18"/>
          <w:shd w:val="clear" w:color="auto" w:fill="FFFFFF"/>
          <w:lang w:val="en-US"/>
        </w:rPr>
        <w:t>Jul;69(7):841-50. PMID: 9706864.</w:t>
      </w:r>
    </w:p>
  </w:endnote>
  <w:endnote w:id="146">
    <w:p w14:paraId="0D9CADB1" w14:textId="77777777" w:rsidR="00E363D9" w:rsidRPr="004B10DC" w:rsidRDefault="00E363D9" w:rsidP="0072132A">
      <w:pPr>
        <w:spacing w:after="120"/>
        <w:jc w:val="both"/>
        <w:rPr>
          <w:sz w:val="18"/>
          <w:szCs w:val="18"/>
          <w:lang w:val="en-US"/>
        </w:rPr>
      </w:pPr>
      <w:r w:rsidRPr="004B10DC">
        <w:rPr>
          <w:rStyle w:val="Rimandonotadichiusura"/>
          <w:sz w:val="18"/>
          <w:szCs w:val="18"/>
        </w:rPr>
        <w:endnoteRef/>
      </w:r>
      <w:r w:rsidRPr="004B10DC">
        <w:rPr>
          <w:sz w:val="18"/>
          <w:szCs w:val="18"/>
          <w:lang w:val="en-US"/>
        </w:rPr>
        <w:t xml:space="preserve"> Heitz-Mayfield LJ. </w:t>
      </w:r>
      <w:r w:rsidRPr="0059122B">
        <w:rPr>
          <w:i/>
          <w:iCs/>
          <w:sz w:val="18"/>
          <w:szCs w:val="18"/>
          <w:lang w:val="en-US"/>
        </w:rPr>
        <w:t>Disease progression: identification of high-risk groups and individuals for periodontitis. J Clin Periodontol.</w:t>
      </w:r>
      <w:r w:rsidRPr="004B10DC">
        <w:rPr>
          <w:sz w:val="18"/>
          <w:szCs w:val="18"/>
          <w:lang w:val="en-US"/>
        </w:rPr>
        <w:t xml:space="preserve"> </w:t>
      </w:r>
      <w:r w:rsidRPr="00994A34">
        <w:rPr>
          <w:b/>
          <w:sz w:val="18"/>
          <w:szCs w:val="18"/>
          <w:lang w:val="en-US"/>
        </w:rPr>
        <w:t>2005</w:t>
      </w:r>
      <w:r w:rsidRPr="004B10DC">
        <w:rPr>
          <w:sz w:val="18"/>
          <w:szCs w:val="18"/>
          <w:lang w:val="en-US"/>
        </w:rPr>
        <w:t>32 Suppl 6:196- 209.</w:t>
      </w:r>
    </w:p>
  </w:endnote>
  <w:endnote w:id="147">
    <w:p w14:paraId="4EC01386" w14:textId="77777777" w:rsidR="00E363D9" w:rsidRPr="004B10DC" w:rsidRDefault="00E363D9" w:rsidP="0072132A">
      <w:pPr>
        <w:spacing w:after="120"/>
        <w:jc w:val="both"/>
        <w:rPr>
          <w:sz w:val="18"/>
          <w:szCs w:val="18"/>
          <w:lang w:val="en-US"/>
        </w:rPr>
      </w:pPr>
      <w:r w:rsidRPr="004B10DC">
        <w:rPr>
          <w:rStyle w:val="Rimandonotadichiusura"/>
          <w:sz w:val="18"/>
          <w:szCs w:val="18"/>
        </w:rPr>
        <w:endnoteRef/>
      </w:r>
      <w:r w:rsidRPr="004B10DC">
        <w:rPr>
          <w:sz w:val="18"/>
          <w:szCs w:val="18"/>
          <w:lang w:val="en-US"/>
        </w:rPr>
        <w:t xml:space="preserve"> Ioannidou E, Malekzadeh T, Dongari-Bagtzoglou A. </w:t>
      </w:r>
      <w:r w:rsidRPr="0059122B">
        <w:rPr>
          <w:i/>
          <w:iCs/>
          <w:sz w:val="18"/>
          <w:szCs w:val="18"/>
          <w:lang w:val="en-US"/>
        </w:rPr>
        <w:t>Effect of periodontal treatment on serum C-reactive protein levels: a systematic review and meta-analysis. J Periodontol.</w:t>
      </w:r>
      <w:r w:rsidRPr="004B10DC">
        <w:rPr>
          <w:sz w:val="18"/>
          <w:szCs w:val="18"/>
          <w:lang w:val="en-US"/>
        </w:rPr>
        <w:t xml:space="preserve"> </w:t>
      </w:r>
      <w:r w:rsidRPr="00994A34">
        <w:rPr>
          <w:b/>
          <w:sz w:val="18"/>
          <w:szCs w:val="18"/>
          <w:lang w:val="en-US"/>
        </w:rPr>
        <w:t xml:space="preserve">2006 </w:t>
      </w:r>
      <w:r w:rsidRPr="004B10DC">
        <w:rPr>
          <w:sz w:val="18"/>
          <w:szCs w:val="18"/>
          <w:lang w:val="en-US"/>
        </w:rPr>
        <w:t>77(10):1635-42.</w:t>
      </w:r>
    </w:p>
  </w:endnote>
  <w:endnote w:id="148">
    <w:p w14:paraId="39B9ECAC" w14:textId="77777777" w:rsidR="00E363D9" w:rsidRPr="004B10DC" w:rsidRDefault="00E363D9" w:rsidP="0072132A">
      <w:pPr>
        <w:spacing w:after="120"/>
        <w:jc w:val="both"/>
        <w:rPr>
          <w:sz w:val="18"/>
          <w:szCs w:val="18"/>
          <w:lang w:val="en-US"/>
        </w:rPr>
      </w:pPr>
      <w:r w:rsidRPr="004B10DC">
        <w:rPr>
          <w:rStyle w:val="Rimandonotadichiusura"/>
          <w:sz w:val="18"/>
          <w:szCs w:val="18"/>
        </w:rPr>
        <w:endnoteRef/>
      </w:r>
      <w:r w:rsidRPr="004B10DC">
        <w:rPr>
          <w:sz w:val="18"/>
          <w:szCs w:val="18"/>
          <w:lang w:val="en-US"/>
        </w:rPr>
        <w:t xml:space="preserve"> D</w:t>
      </w:r>
      <w:r>
        <w:rPr>
          <w:sz w:val="18"/>
          <w:szCs w:val="18"/>
          <w:lang w:val="en-US"/>
        </w:rPr>
        <w:t>’</w:t>
      </w:r>
      <w:r w:rsidRPr="004B10DC">
        <w:rPr>
          <w:sz w:val="18"/>
          <w:szCs w:val="18"/>
          <w:lang w:val="en-US"/>
        </w:rPr>
        <w:t>Aiuto F, Nibali L, Parkar M, Suvan J, Tonetti MS.</w:t>
      </w:r>
      <w:r w:rsidRPr="0059122B">
        <w:rPr>
          <w:i/>
          <w:iCs/>
          <w:sz w:val="18"/>
          <w:szCs w:val="18"/>
          <w:lang w:val="en-US"/>
        </w:rPr>
        <w:t>Short-term effects of intensive periodontal therapy on serum inflammatory markers and cholesterol. J Dent Res.</w:t>
      </w:r>
      <w:r w:rsidRPr="004B10DC">
        <w:rPr>
          <w:sz w:val="18"/>
          <w:szCs w:val="18"/>
          <w:lang w:val="en-US"/>
        </w:rPr>
        <w:t xml:space="preserve"> </w:t>
      </w:r>
      <w:r w:rsidRPr="00994A34">
        <w:rPr>
          <w:b/>
          <w:sz w:val="18"/>
          <w:szCs w:val="18"/>
          <w:lang w:val="en-US"/>
        </w:rPr>
        <w:t>2005</w:t>
      </w:r>
      <w:r>
        <w:rPr>
          <w:b/>
          <w:sz w:val="18"/>
          <w:szCs w:val="18"/>
          <w:lang w:val="en-US"/>
        </w:rPr>
        <w:t xml:space="preserve"> </w:t>
      </w:r>
      <w:r w:rsidRPr="004B10DC">
        <w:rPr>
          <w:sz w:val="18"/>
          <w:szCs w:val="18"/>
          <w:lang w:val="en-US"/>
        </w:rPr>
        <w:t>84(3):269-73.</w:t>
      </w:r>
    </w:p>
  </w:endnote>
  <w:endnote w:id="149">
    <w:p w14:paraId="2CB95907" w14:textId="77777777" w:rsidR="00E363D9" w:rsidRPr="004B10DC" w:rsidRDefault="00E363D9" w:rsidP="00961AAF">
      <w:pPr>
        <w:spacing w:after="120"/>
        <w:jc w:val="both"/>
        <w:rPr>
          <w:sz w:val="18"/>
          <w:szCs w:val="18"/>
          <w:lang w:val="en-US"/>
        </w:rPr>
      </w:pPr>
      <w:r w:rsidRPr="004B10DC">
        <w:rPr>
          <w:rStyle w:val="Rimandonotadichiusura"/>
          <w:sz w:val="18"/>
          <w:szCs w:val="18"/>
        </w:rPr>
        <w:endnoteRef/>
      </w:r>
      <w:r w:rsidRPr="002F623C">
        <w:rPr>
          <w:sz w:val="18"/>
          <w:szCs w:val="18"/>
          <w:lang w:val="en-US"/>
        </w:rPr>
        <w:t xml:space="preserve"> D’Aiuto F, Parkar M, Nibali L, Suvan J, Lessem J, Tonetti MS. </w:t>
      </w:r>
      <w:r w:rsidRPr="0059122B">
        <w:rPr>
          <w:i/>
          <w:iCs/>
          <w:sz w:val="18"/>
          <w:szCs w:val="18"/>
          <w:lang w:val="en-US"/>
        </w:rPr>
        <w:t>Periodontal infections cause changes in traditional and novel cardiovascular risk factors: results from a randomized controlled clinical trial.</w:t>
      </w:r>
      <w:r w:rsidRPr="004B10DC">
        <w:rPr>
          <w:sz w:val="18"/>
          <w:szCs w:val="18"/>
          <w:lang w:val="en-US"/>
        </w:rPr>
        <w:t xml:space="preserve"> </w:t>
      </w:r>
      <w:r w:rsidRPr="0059122B">
        <w:rPr>
          <w:i/>
          <w:iCs/>
          <w:sz w:val="18"/>
          <w:szCs w:val="18"/>
          <w:lang w:val="en-US"/>
        </w:rPr>
        <w:t>Am Heart J.</w:t>
      </w:r>
      <w:r w:rsidRPr="00DE228E">
        <w:rPr>
          <w:sz w:val="18"/>
          <w:szCs w:val="18"/>
          <w:lang w:val="en-US"/>
        </w:rPr>
        <w:t xml:space="preserve"> </w:t>
      </w:r>
      <w:r w:rsidRPr="00994A34">
        <w:rPr>
          <w:b/>
          <w:sz w:val="18"/>
          <w:szCs w:val="18"/>
          <w:lang w:val="en-US"/>
        </w:rPr>
        <w:t>2006</w:t>
      </w:r>
      <w:r w:rsidRPr="00DE228E">
        <w:rPr>
          <w:sz w:val="18"/>
          <w:szCs w:val="18"/>
          <w:lang w:val="en-US"/>
        </w:rPr>
        <w:t>151(5):977-84.</w:t>
      </w:r>
    </w:p>
  </w:endnote>
  <w:endnote w:id="150">
    <w:p w14:paraId="29AE9E85" w14:textId="3931E5DB" w:rsidR="007563ED" w:rsidRPr="00842B17" w:rsidRDefault="007563ED" w:rsidP="00961AAF">
      <w:pPr>
        <w:pStyle w:val="Testonotadichiusura"/>
        <w:jc w:val="both"/>
        <w:rPr>
          <w:lang w:val="en-US"/>
        </w:rPr>
      </w:pPr>
      <w:r>
        <w:rPr>
          <w:rStyle w:val="Rimandonotadichiusura"/>
        </w:rPr>
        <w:endnoteRef/>
      </w:r>
      <w:r w:rsidRPr="007563ED">
        <w:rPr>
          <w:lang w:val="en-US"/>
        </w:rPr>
        <w:t xml:space="preserve"> Genco RJ, Borgnakke WS. </w:t>
      </w:r>
      <w:r w:rsidRPr="007563ED">
        <w:rPr>
          <w:i/>
          <w:iCs/>
          <w:lang w:val="en-US"/>
        </w:rPr>
        <w:t>Risk factors for periodontal disease.</w:t>
      </w:r>
      <w:r w:rsidRPr="007563ED">
        <w:rPr>
          <w:lang w:val="en-US"/>
        </w:rPr>
        <w:t xml:space="preserve"> </w:t>
      </w:r>
      <w:r w:rsidRPr="00842B17">
        <w:rPr>
          <w:lang w:val="en-US"/>
        </w:rPr>
        <w:t xml:space="preserve">Periodontol </w:t>
      </w:r>
      <w:r w:rsidRPr="00842B17">
        <w:rPr>
          <w:b/>
          <w:bCs/>
          <w:lang w:val="en-US"/>
        </w:rPr>
        <w:t>2000</w:t>
      </w:r>
      <w:r w:rsidRPr="00842B17">
        <w:rPr>
          <w:lang w:val="en-US"/>
        </w:rPr>
        <w:t>. 2013 Jun;62(1):59-94. doi: 10.1111/j.1600-0757.2012.00457.x. PMID: 23574464.</w:t>
      </w:r>
    </w:p>
    <w:p w14:paraId="33365F88" w14:textId="77777777" w:rsidR="007563ED" w:rsidRPr="00842B17" w:rsidRDefault="007563ED" w:rsidP="00961AAF">
      <w:pPr>
        <w:pStyle w:val="Testonotadichiusura"/>
        <w:jc w:val="both"/>
        <w:rPr>
          <w:lang w:val="en-US"/>
        </w:rPr>
      </w:pPr>
    </w:p>
  </w:endnote>
  <w:endnote w:id="151">
    <w:p w14:paraId="188DF49E" w14:textId="68DA3B24" w:rsidR="007563ED" w:rsidRPr="00842B17" w:rsidRDefault="007563ED" w:rsidP="00961AAF">
      <w:pPr>
        <w:pStyle w:val="Testonotadichiusura"/>
        <w:jc w:val="both"/>
        <w:rPr>
          <w:lang w:val="en-US"/>
        </w:rPr>
      </w:pPr>
      <w:r>
        <w:rPr>
          <w:rStyle w:val="Rimandonotadichiusura"/>
        </w:rPr>
        <w:endnoteRef/>
      </w:r>
      <w:r w:rsidRPr="007563ED">
        <w:rPr>
          <w:lang w:val="en-US"/>
        </w:rPr>
        <w:t xml:space="preserve"> Laine MA. </w:t>
      </w:r>
      <w:r w:rsidRPr="007563ED">
        <w:rPr>
          <w:i/>
          <w:iCs/>
          <w:lang w:val="en-US"/>
        </w:rPr>
        <w:t>Effect of pregnancy on periodontal and dental health</w:t>
      </w:r>
      <w:r w:rsidRPr="007563ED">
        <w:rPr>
          <w:lang w:val="en-US"/>
        </w:rPr>
        <w:t xml:space="preserve">. </w:t>
      </w:r>
      <w:r w:rsidRPr="00842B17">
        <w:rPr>
          <w:lang w:val="en-US"/>
        </w:rPr>
        <w:t xml:space="preserve">Acta Odontol Scand. </w:t>
      </w:r>
      <w:r w:rsidRPr="00842B17">
        <w:rPr>
          <w:b/>
          <w:bCs/>
          <w:lang w:val="en-US"/>
        </w:rPr>
        <w:t>2002</w:t>
      </w:r>
      <w:r w:rsidRPr="00842B17">
        <w:rPr>
          <w:lang w:val="en-US"/>
        </w:rPr>
        <w:t xml:space="preserve"> Oct;60(5):257-64. doi: 10.1080/00016350260248210. PMID: 12418714. </w:t>
      </w:r>
    </w:p>
    <w:p w14:paraId="1EDFE008" w14:textId="77777777" w:rsidR="007563ED" w:rsidRPr="007563ED" w:rsidRDefault="007563ED" w:rsidP="00961AAF">
      <w:pPr>
        <w:pStyle w:val="Testonotadichiusura"/>
        <w:jc w:val="both"/>
        <w:rPr>
          <w:lang w:val="en-US"/>
        </w:rPr>
      </w:pPr>
    </w:p>
  </w:endnote>
  <w:endnote w:id="152">
    <w:p w14:paraId="0C9F5E8C" w14:textId="1DA5D2A4" w:rsidR="007563ED" w:rsidRPr="00842B17" w:rsidRDefault="007563ED" w:rsidP="00961AAF">
      <w:pPr>
        <w:pStyle w:val="Testonotadichiusura"/>
        <w:jc w:val="both"/>
        <w:rPr>
          <w:lang w:val="en-US"/>
        </w:rPr>
      </w:pPr>
      <w:r>
        <w:rPr>
          <w:rStyle w:val="Rimandonotadichiusura"/>
        </w:rPr>
        <w:endnoteRef/>
      </w:r>
      <w:r w:rsidRPr="007563ED">
        <w:rPr>
          <w:lang w:val="en-US"/>
        </w:rPr>
        <w:t xml:space="preserve"> </w:t>
      </w:r>
      <w:r w:rsidRPr="007563ED">
        <w:rPr>
          <w:sz w:val="18"/>
          <w:szCs w:val="18"/>
          <w:lang w:val="en-US"/>
        </w:rPr>
        <w:t xml:space="preserve">Ide M, Papapanou PN. </w:t>
      </w:r>
      <w:r w:rsidRPr="007563ED">
        <w:rPr>
          <w:i/>
          <w:iCs/>
          <w:sz w:val="18"/>
          <w:szCs w:val="18"/>
          <w:lang w:val="en-US"/>
        </w:rPr>
        <w:t>Epidemiology of association between maternal periodontal disease and adverse pregnancy outcomes--systematic review.</w:t>
      </w:r>
      <w:r w:rsidRPr="007563ED">
        <w:rPr>
          <w:sz w:val="18"/>
          <w:szCs w:val="18"/>
          <w:lang w:val="en-US"/>
        </w:rPr>
        <w:t xml:space="preserve"> </w:t>
      </w:r>
      <w:r w:rsidRPr="00842B17">
        <w:rPr>
          <w:sz w:val="18"/>
          <w:szCs w:val="18"/>
          <w:lang w:val="en-US"/>
        </w:rPr>
        <w:t xml:space="preserve">J Clin Periodontol. </w:t>
      </w:r>
      <w:r w:rsidRPr="00842B17">
        <w:rPr>
          <w:b/>
          <w:bCs/>
          <w:sz w:val="18"/>
          <w:szCs w:val="18"/>
          <w:lang w:val="en-US"/>
        </w:rPr>
        <w:t>2013</w:t>
      </w:r>
      <w:r w:rsidRPr="00842B17">
        <w:rPr>
          <w:sz w:val="18"/>
          <w:szCs w:val="18"/>
          <w:lang w:val="en-US"/>
        </w:rPr>
        <w:t xml:space="preserve"> Apr;40 Suppl 14:S181-94. doi: 10.1111/jcpe.12063. PMID: 23627328.</w:t>
      </w:r>
    </w:p>
    <w:p w14:paraId="4D70C062" w14:textId="77777777" w:rsidR="007563ED" w:rsidRPr="007563ED" w:rsidRDefault="007563ED">
      <w:pPr>
        <w:pStyle w:val="Testonotadichiusura"/>
        <w:rPr>
          <w:lang w:val="en-US"/>
        </w:rPr>
      </w:pPr>
    </w:p>
  </w:endnote>
  <w:endnote w:id="153">
    <w:p w14:paraId="7C90D00D" w14:textId="02104BE5" w:rsidR="007563ED" w:rsidRPr="007563ED" w:rsidRDefault="007563ED">
      <w:pPr>
        <w:pStyle w:val="Testonotadichiusura"/>
        <w:rPr>
          <w:lang w:val="en-US"/>
        </w:rPr>
      </w:pPr>
      <w:r>
        <w:rPr>
          <w:rStyle w:val="Rimandonotadichiusura"/>
        </w:rPr>
        <w:endnoteRef/>
      </w:r>
      <w:r w:rsidRPr="007563ED">
        <w:rPr>
          <w:lang w:val="en-US"/>
        </w:rPr>
        <w:t xml:space="preserve"> </w:t>
      </w:r>
      <w:r w:rsidRPr="007563ED">
        <w:rPr>
          <w:sz w:val="18"/>
          <w:szCs w:val="18"/>
          <w:lang w:val="en-US"/>
        </w:rPr>
        <w:t xml:space="preserve">Xiong X, Buekens P, Fraser WD, Beck J, Offenbacher S. </w:t>
      </w:r>
      <w:r w:rsidRPr="007563ED">
        <w:rPr>
          <w:i/>
          <w:iCs/>
          <w:sz w:val="18"/>
          <w:szCs w:val="18"/>
          <w:lang w:val="en-US"/>
        </w:rPr>
        <w:t>Periodontal disease and adverse pregnancy outcomes: a systematic review.</w:t>
      </w:r>
      <w:r w:rsidRPr="007563ED">
        <w:rPr>
          <w:sz w:val="18"/>
          <w:szCs w:val="18"/>
          <w:lang w:val="en-US"/>
        </w:rPr>
        <w:t xml:space="preserve"> BJOG. </w:t>
      </w:r>
      <w:r w:rsidRPr="007563ED">
        <w:rPr>
          <w:b/>
          <w:bCs/>
          <w:sz w:val="18"/>
          <w:szCs w:val="18"/>
          <w:lang w:val="en-US"/>
        </w:rPr>
        <w:t>2006</w:t>
      </w:r>
      <w:r w:rsidRPr="007563ED">
        <w:rPr>
          <w:sz w:val="18"/>
          <w:szCs w:val="18"/>
          <w:lang w:val="en-US"/>
        </w:rPr>
        <w:t xml:space="preserve"> Feb;113(2):135-43. doi: 10.1111/j.1471-0528.2005.00827.x. PMID: 16411989.</w:t>
      </w:r>
    </w:p>
    <w:p w14:paraId="2D2E2494" w14:textId="77777777" w:rsidR="007563ED" w:rsidRPr="007563ED" w:rsidRDefault="007563ED">
      <w:pPr>
        <w:pStyle w:val="Testonotadichiusura"/>
        <w:rPr>
          <w:lang w:val="en-US"/>
        </w:rPr>
      </w:pPr>
    </w:p>
  </w:endnote>
  <w:endnote w:id="154">
    <w:p w14:paraId="5BD64D23" w14:textId="32B3FFB8" w:rsidR="007563ED" w:rsidRDefault="007563ED" w:rsidP="007563ED">
      <w:pPr>
        <w:pStyle w:val="Testonotadichiusura"/>
        <w:jc w:val="both"/>
        <w:rPr>
          <w:lang w:val="en-US"/>
        </w:rPr>
      </w:pPr>
      <w:r>
        <w:rPr>
          <w:rStyle w:val="Rimandonotadichiusura"/>
        </w:rPr>
        <w:endnoteRef/>
      </w:r>
      <w:r w:rsidRPr="007563ED">
        <w:rPr>
          <w:lang w:val="en-US"/>
        </w:rPr>
        <w:t xml:space="preserve"> Han YW. </w:t>
      </w:r>
      <w:r w:rsidRPr="007563ED">
        <w:rPr>
          <w:i/>
          <w:iCs/>
          <w:lang w:val="en-US"/>
        </w:rPr>
        <w:t>Oral health and adverse pregnancy outcomes</w:t>
      </w:r>
      <w:r w:rsidRPr="007563ED">
        <w:rPr>
          <w:lang w:val="en-US"/>
        </w:rPr>
        <w:t xml:space="preserve"> - what's next? J Dent Res. </w:t>
      </w:r>
      <w:r w:rsidRPr="007563ED">
        <w:rPr>
          <w:b/>
          <w:bCs/>
          <w:lang w:val="en-US"/>
        </w:rPr>
        <w:t>2011</w:t>
      </w:r>
      <w:r w:rsidRPr="007563ED">
        <w:rPr>
          <w:lang w:val="en-US"/>
        </w:rPr>
        <w:t xml:space="preserve"> Mar;90(3):289-93. doi: 10.1177/0022034510381905. Epub 2010 Nov 1. PMID: 21041548; PMCID: PMC3144105.</w:t>
      </w:r>
    </w:p>
    <w:p w14:paraId="379816FF" w14:textId="77777777" w:rsidR="007563ED" w:rsidRPr="007563ED" w:rsidRDefault="007563ED">
      <w:pPr>
        <w:pStyle w:val="Testonotadichiusura"/>
        <w:rPr>
          <w:lang w:val="en-US"/>
        </w:rPr>
      </w:pPr>
    </w:p>
  </w:endnote>
  <w:endnote w:id="155">
    <w:p w14:paraId="358D556C" w14:textId="77777777" w:rsidR="00DF4B1C" w:rsidRPr="00DF4B1C" w:rsidRDefault="00DF4B1C" w:rsidP="00DF4B1C">
      <w:pPr>
        <w:pStyle w:val="Testonotadichiusura"/>
        <w:jc w:val="both"/>
        <w:rPr>
          <w:sz w:val="18"/>
          <w:szCs w:val="18"/>
          <w:lang w:val="en-US"/>
        </w:rPr>
      </w:pPr>
      <w:r>
        <w:rPr>
          <w:rStyle w:val="Rimandonotadichiusura"/>
        </w:rPr>
        <w:endnoteRef/>
      </w:r>
      <w:r w:rsidRPr="00DF4B1C">
        <w:rPr>
          <w:lang w:val="en-US"/>
        </w:rPr>
        <w:t xml:space="preserve"> </w:t>
      </w:r>
      <w:r w:rsidRPr="00DF4B1C">
        <w:rPr>
          <w:sz w:val="18"/>
          <w:szCs w:val="18"/>
          <w:lang w:val="en-US"/>
        </w:rPr>
        <w:t xml:space="preserve">Stener-Victorin, E.; Teede, H.; Norman, R.J.; Legro, R.; Goodarzi, M.O.; Dokras, A.; Laven, J.; Hoeger, K.; Piltonen, T.T. </w:t>
      </w:r>
      <w:r w:rsidRPr="00DF4B1C">
        <w:rPr>
          <w:i/>
          <w:iCs/>
          <w:sz w:val="18"/>
          <w:szCs w:val="18"/>
          <w:lang w:val="en-US"/>
        </w:rPr>
        <w:t>Polycystic ovary syndrome</w:t>
      </w:r>
      <w:r w:rsidRPr="00DF4B1C">
        <w:rPr>
          <w:sz w:val="18"/>
          <w:szCs w:val="18"/>
          <w:lang w:val="en-US"/>
        </w:rPr>
        <w:t xml:space="preserve">. </w:t>
      </w:r>
      <w:r w:rsidRPr="00DF4B1C">
        <w:rPr>
          <w:i/>
          <w:iCs/>
          <w:sz w:val="18"/>
          <w:szCs w:val="18"/>
          <w:lang w:val="en-US"/>
        </w:rPr>
        <w:t xml:space="preserve">Nat. Rev. Dis. Prim. </w:t>
      </w:r>
      <w:r w:rsidRPr="00DF4B1C">
        <w:rPr>
          <w:b/>
          <w:bCs/>
          <w:sz w:val="18"/>
          <w:szCs w:val="18"/>
          <w:lang w:val="en-US"/>
        </w:rPr>
        <w:t>2024</w:t>
      </w:r>
      <w:r w:rsidRPr="00DF4B1C">
        <w:rPr>
          <w:sz w:val="18"/>
          <w:szCs w:val="18"/>
          <w:lang w:val="en-US"/>
        </w:rPr>
        <w:t xml:space="preserve">, </w:t>
      </w:r>
      <w:r w:rsidRPr="00DF4B1C">
        <w:rPr>
          <w:i/>
          <w:iCs/>
          <w:sz w:val="18"/>
          <w:szCs w:val="18"/>
          <w:lang w:val="en-US"/>
        </w:rPr>
        <w:t>10</w:t>
      </w:r>
      <w:r w:rsidRPr="00DF4B1C">
        <w:rPr>
          <w:sz w:val="18"/>
          <w:szCs w:val="18"/>
          <w:lang w:val="en-US"/>
        </w:rPr>
        <w:t xml:space="preserve">, 27. [CrossRef] [PubMed] </w:t>
      </w:r>
    </w:p>
    <w:p w14:paraId="7B031166" w14:textId="0A12D10D" w:rsidR="00DF4B1C" w:rsidRPr="00DF4B1C" w:rsidRDefault="00DF4B1C" w:rsidP="00DF4B1C">
      <w:pPr>
        <w:pStyle w:val="Testonotadichiusura"/>
        <w:jc w:val="both"/>
        <w:rPr>
          <w:sz w:val="18"/>
          <w:szCs w:val="18"/>
          <w:lang w:val="en-US"/>
        </w:rPr>
      </w:pPr>
    </w:p>
  </w:endnote>
  <w:endnote w:id="156">
    <w:p w14:paraId="7601A443" w14:textId="77777777" w:rsidR="00DF4B1C" w:rsidRPr="00DF4B1C" w:rsidRDefault="00DF4B1C" w:rsidP="00DF4B1C">
      <w:pPr>
        <w:pStyle w:val="Testonotadichiusura"/>
        <w:jc w:val="both"/>
        <w:rPr>
          <w:sz w:val="18"/>
          <w:szCs w:val="18"/>
          <w:lang w:val="en-US"/>
        </w:rPr>
      </w:pPr>
      <w:r w:rsidRPr="00DF4B1C">
        <w:rPr>
          <w:rStyle w:val="Rimandonotadichiusura"/>
          <w:sz w:val="18"/>
          <w:szCs w:val="18"/>
        </w:rPr>
        <w:endnoteRef/>
      </w:r>
      <w:r w:rsidRPr="00DF4B1C">
        <w:rPr>
          <w:sz w:val="18"/>
          <w:szCs w:val="18"/>
          <w:lang w:val="en-US"/>
        </w:rPr>
        <w:t xml:space="preserve"> Sirmans, S.M.; Pate, K.A. </w:t>
      </w:r>
      <w:r w:rsidRPr="00DF4B1C">
        <w:rPr>
          <w:i/>
          <w:iCs/>
          <w:sz w:val="18"/>
          <w:szCs w:val="18"/>
          <w:lang w:val="en-US"/>
        </w:rPr>
        <w:t>Epidemiology, diagnosis, and management of polycystic ovary syndrome</w:t>
      </w:r>
      <w:r w:rsidRPr="00DF4B1C">
        <w:rPr>
          <w:sz w:val="18"/>
          <w:szCs w:val="18"/>
          <w:lang w:val="en-US"/>
        </w:rPr>
        <w:t xml:space="preserve">. </w:t>
      </w:r>
      <w:r w:rsidRPr="00DF4B1C">
        <w:rPr>
          <w:i/>
          <w:iCs/>
          <w:sz w:val="18"/>
          <w:szCs w:val="18"/>
          <w:lang w:val="en-US"/>
        </w:rPr>
        <w:t xml:space="preserve">Clin. Epidemiol. </w:t>
      </w:r>
      <w:r w:rsidRPr="00DF4B1C">
        <w:rPr>
          <w:b/>
          <w:bCs/>
          <w:sz w:val="18"/>
          <w:szCs w:val="18"/>
          <w:lang w:val="en-US"/>
        </w:rPr>
        <w:t>2013</w:t>
      </w:r>
      <w:r w:rsidRPr="00DF4B1C">
        <w:rPr>
          <w:sz w:val="18"/>
          <w:szCs w:val="18"/>
          <w:lang w:val="en-US"/>
        </w:rPr>
        <w:t xml:space="preserve">, </w:t>
      </w:r>
      <w:r w:rsidRPr="00DF4B1C">
        <w:rPr>
          <w:i/>
          <w:iCs/>
          <w:sz w:val="18"/>
          <w:szCs w:val="18"/>
          <w:lang w:val="en-US"/>
        </w:rPr>
        <w:t>6</w:t>
      </w:r>
      <w:r w:rsidRPr="00DF4B1C">
        <w:rPr>
          <w:sz w:val="18"/>
          <w:szCs w:val="18"/>
          <w:lang w:val="en-US"/>
        </w:rPr>
        <w:t xml:space="preserve">, 1–13. [CrossRef] [PubMed] [PubMed Central] </w:t>
      </w:r>
    </w:p>
    <w:p w14:paraId="5A0B5DC5" w14:textId="3807890A" w:rsidR="00DF4B1C" w:rsidRPr="00DF4B1C" w:rsidRDefault="00DF4B1C">
      <w:pPr>
        <w:pStyle w:val="Testonotadichiusura"/>
        <w:rPr>
          <w:lang w:val="en-US"/>
        </w:rPr>
      </w:pPr>
    </w:p>
  </w:endnote>
  <w:endnote w:id="157">
    <w:p w14:paraId="46B45EF7" w14:textId="77777777" w:rsidR="00DF4B1C" w:rsidRPr="00E45A64" w:rsidRDefault="00DF4B1C" w:rsidP="00DF4B1C">
      <w:pPr>
        <w:pStyle w:val="Testonotadichiusura"/>
        <w:jc w:val="both"/>
        <w:rPr>
          <w:lang w:val="en-US"/>
        </w:rPr>
      </w:pPr>
      <w:r>
        <w:rPr>
          <w:rStyle w:val="Rimandonotadichiusura"/>
        </w:rPr>
        <w:endnoteRef/>
      </w:r>
      <w:r w:rsidRPr="00DF4B1C">
        <w:rPr>
          <w:lang w:val="en-US"/>
        </w:rPr>
        <w:t xml:space="preserve"> </w:t>
      </w:r>
      <w:r w:rsidRPr="00DF4B1C">
        <w:rPr>
          <w:sz w:val="18"/>
          <w:szCs w:val="18"/>
          <w:lang w:val="en-US"/>
        </w:rPr>
        <w:t xml:space="preserve">Rotterdam ESHRE/ASRM-Sponsored PCOS Consensus Workshop Group. </w:t>
      </w:r>
      <w:r w:rsidRPr="00DF4B1C">
        <w:rPr>
          <w:i/>
          <w:iCs/>
          <w:sz w:val="18"/>
          <w:szCs w:val="18"/>
          <w:lang w:val="en-US"/>
        </w:rPr>
        <w:t>Revised 2003 consensus on diagnostic criteria and long-term health risks related to polycystic ovary syndrome (PCOS).</w:t>
      </w:r>
      <w:r w:rsidRPr="00DF4B1C">
        <w:rPr>
          <w:sz w:val="18"/>
          <w:szCs w:val="18"/>
          <w:lang w:val="en-US"/>
        </w:rPr>
        <w:t xml:space="preserve"> </w:t>
      </w:r>
      <w:r w:rsidRPr="00E45A64">
        <w:rPr>
          <w:i/>
          <w:iCs/>
          <w:sz w:val="18"/>
          <w:szCs w:val="18"/>
          <w:lang w:val="en-US"/>
        </w:rPr>
        <w:t xml:space="preserve">Hum. Reprod. </w:t>
      </w:r>
      <w:r w:rsidRPr="00E45A64">
        <w:rPr>
          <w:b/>
          <w:bCs/>
          <w:sz w:val="18"/>
          <w:szCs w:val="18"/>
          <w:lang w:val="en-US"/>
        </w:rPr>
        <w:t>2004</w:t>
      </w:r>
      <w:r w:rsidRPr="00E45A64">
        <w:rPr>
          <w:sz w:val="18"/>
          <w:szCs w:val="18"/>
          <w:lang w:val="en-US"/>
        </w:rPr>
        <w:t xml:space="preserve">, </w:t>
      </w:r>
      <w:r w:rsidRPr="00E45A64">
        <w:rPr>
          <w:i/>
          <w:iCs/>
          <w:sz w:val="18"/>
          <w:szCs w:val="18"/>
          <w:lang w:val="en-US"/>
        </w:rPr>
        <w:t>19</w:t>
      </w:r>
      <w:r w:rsidRPr="00E45A64">
        <w:rPr>
          <w:sz w:val="18"/>
          <w:szCs w:val="18"/>
          <w:lang w:val="en-US"/>
        </w:rPr>
        <w:t>, 41–47. [CrossRef] [PubMed]</w:t>
      </w:r>
      <w:r w:rsidRPr="00E45A64">
        <w:rPr>
          <w:lang w:val="en-US"/>
        </w:rPr>
        <w:t xml:space="preserve"> </w:t>
      </w:r>
    </w:p>
    <w:p w14:paraId="653C4B90" w14:textId="10ABFA0F" w:rsidR="00DF4B1C" w:rsidRPr="00DF4B1C" w:rsidRDefault="00DF4B1C">
      <w:pPr>
        <w:pStyle w:val="Testonotadichiusura"/>
        <w:rPr>
          <w:lang w:val="en-US"/>
        </w:rPr>
      </w:pPr>
    </w:p>
  </w:endnote>
  <w:endnote w:id="158">
    <w:p w14:paraId="148E2F31" w14:textId="2548CE22" w:rsidR="00386886" w:rsidRPr="00386886" w:rsidRDefault="00386886" w:rsidP="00386886">
      <w:pPr>
        <w:pStyle w:val="Testonotadichiusura"/>
        <w:jc w:val="both"/>
        <w:rPr>
          <w:lang w:val="en-US"/>
        </w:rPr>
      </w:pPr>
      <w:r>
        <w:rPr>
          <w:rStyle w:val="Rimandonotadichiusura"/>
        </w:rPr>
        <w:endnoteRef/>
      </w:r>
      <w:r w:rsidRPr="00386886">
        <w:rPr>
          <w:lang w:val="en-US"/>
        </w:rPr>
        <w:t xml:space="preserve"> </w:t>
      </w:r>
      <w:r w:rsidRPr="00386886">
        <w:rPr>
          <w:sz w:val="18"/>
          <w:szCs w:val="18"/>
          <w:lang w:val="en-US"/>
        </w:rPr>
        <w:t xml:space="preserve">Dursun E, Akalın FA, Güncü GN, Çınar N, Aksoy DY, Tözüm TF, Kılınc K, Yıldız BO. </w:t>
      </w:r>
      <w:r w:rsidRPr="00386886">
        <w:rPr>
          <w:i/>
          <w:iCs/>
          <w:sz w:val="18"/>
          <w:szCs w:val="18"/>
          <w:lang w:val="en-US"/>
        </w:rPr>
        <w:t>Periodontal disease in polycystic ovary syndrome</w:t>
      </w:r>
      <w:r w:rsidRPr="00386886">
        <w:rPr>
          <w:sz w:val="18"/>
          <w:szCs w:val="18"/>
          <w:lang w:val="en-US"/>
        </w:rPr>
        <w:t xml:space="preserve">. Fertil Steril. </w:t>
      </w:r>
      <w:r w:rsidRPr="00386886">
        <w:rPr>
          <w:b/>
          <w:bCs/>
          <w:sz w:val="18"/>
          <w:szCs w:val="18"/>
          <w:lang w:val="en-US"/>
        </w:rPr>
        <w:t>2011</w:t>
      </w:r>
      <w:r w:rsidRPr="00386886">
        <w:rPr>
          <w:sz w:val="18"/>
          <w:szCs w:val="18"/>
          <w:lang w:val="en-US"/>
        </w:rPr>
        <w:t xml:space="preserve"> Jan;95(1):320-3. doi: 10.1016/j.fertnstert.2010.07.1052. PMID: 20800834.</w:t>
      </w:r>
    </w:p>
    <w:p w14:paraId="142122CC" w14:textId="77777777" w:rsidR="00386886" w:rsidRPr="00386886" w:rsidRDefault="00386886">
      <w:pPr>
        <w:pStyle w:val="Testonotadichiusura"/>
        <w:rPr>
          <w:lang w:val="en-US"/>
        </w:rPr>
      </w:pPr>
    </w:p>
  </w:endnote>
  <w:endnote w:id="159">
    <w:p w14:paraId="2F80EACC" w14:textId="515CD164" w:rsidR="00386886" w:rsidRPr="00842B17" w:rsidRDefault="00386886" w:rsidP="00386886">
      <w:pPr>
        <w:pStyle w:val="Testonotadichiusura"/>
        <w:jc w:val="both"/>
        <w:rPr>
          <w:sz w:val="18"/>
          <w:szCs w:val="18"/>
          <w:lang w:val="en-US"/>
        </w:rPr>
      </w:pPr>
      <w:r>
        <w:rPr>
          <w:rStyle w:val="Rimandonotadichiusura"/>
        </w:rPr>
        <w:endnoteRef/>
      </w:r>
      <w:r w:rsidRPr="00386886">
        <w:rPr>
          <w:lang w:val="en-US"/>
        </w:rPr>
        <w:t xml:space="preserve"> </w:t>
      </w:r>
      <w:r w:rsidRPr="00386886">
        <w:rPr>
          <w:sz w:val="18"/>
          <w:szCs w:val="18"/>
          <w:lang w:val="en-US"/>
        </w:rPr>
        <w:t xml:space="preserve">Gomes-Filho IS, Cruz SSD, Trindade SC, Passos-Soares JS, Carvalho-Filho PC, Figueiredo ACMG, Lyrio AO, Hintz AM, Pereira MG, Scannapieco </w:t>
      </w:r>
      <w:r w:rsidRPr="00386886">
        <w:rPr>
          <w:i/>
          <w:iCs/>
          <w:sz w:val="18"/>
          <w:szCs w:val="18"/>
          <w:lang w:val="en-US"/>
        </w:rPr>
        <w:t>F. Periodontitis and respiratory diseases: A systematic review with meta-analysis.</w:t>
      </w:r>
      <w:r w:rsidRPr="00386886">
        <w:rPr>
          <w:sz w:val="18"/>
          <w:szCs w:val="18"/>
          <w:lang w:val="en-US"/>
        </w:rPr>
        <w:t xml:space="preserve"> </w:t>
      </w:r>
      <w:r w:rsidRPr="00842B17">
        <w:rPr>
          <w:sz w:val="18"/>
          <w:szCs w:val="18"/>
          <w:lang w:val="en-US"/>
        </w:rPr>
        <w:t xml:space="preserve">Oral Dis. </w:t>
      </w:r>
      <w:r w:rsidRPr="00842B17">
        <w:rPr>
          <w:b/>
          <w:bCs/>
          <w:sz w:val="18"/>
          <w:szCs w:val="18"/>
          <w:lang w:val="en-US"/>
        </w:rPr>
        <w:t>2020</w:t>
      </w:r>
      <w:r w:rsidRPr="00842B17">
        <w:rPr>
          <w:sz w:val="18"/>
          <w:szCs w:val="18"/>
          <w:lang w:val="en-US"/>
        </w:rPr>
        <w:t xml:space="preserve"> Mar;26(2):439-446. doi: 10.1111/odi.13228. Epub 2019 Nov 28. PMID: 31715080.</w:t>
      </w:r>
    </w:p>
    <w:p w14:paraId="12BFEBAA" w14:textId="77777777" w:rsidR="00386886" w:rsidRPr="00842B17" w:rsidRDefault="00386886">
      <w:pPr>
        <w:pStyle w:val="Testonotadichiusura"/>
        <w:rPr>
          <w:lang w:val="en-US"/>
        </w:rPr>
      </w:pPr>
    </w:p>
  </w:endnote>
  <w:endnote w:id="160">
    <w:p w14:paraId="1C9CE202" w14:textId="0F847B56" w:rsidR="00386886" w:rsidRPr="00842B17" w:rsidRDefault="00386886" w:rsidP="00386886">
      <w:pPr>
        <w:pStyle w:val="Testonotadichiusura"/>
        <w:jc w:val="both"/>
        <w:rPr>
          <w:sz w:val="18"/>
          <w:szCs w:val="18"/>
          <w:lang w:val="en-US"/>
        </w:rPr>
      </w:pPr>
      <w:r>
        <w:rPr>
          <w:rStyle w:val="Rimandonotadichiusura"/>
        </w:rPr>
        <w:endnoteRef/>
      </w:r>
      <w:r w:rsidRPr="00386886">
        <w:rPr>
          <w:lang w:val="en-US"/>
        </w:rPr>
        <w:t xml:space="preserve"> </w:t>
      </w:r>
      <w:r w:rsidRPr="00386886">
        <w:rPr>
          <w:sz w:val="18"/>
          <w:szCs w:val="18"/>
          <w:lang w:val="en-US"/>
        </w:rPr>
        <w:t xml:space="preserve">Könönen E, Gursoy M, Gursoy UK. Periodontitis: </w:t>
      </w:r>
      <w:r w:rsidRPr="00386886">
        <w:rPr>
          <w:i/>
          <w:iCs/>
          <w:sz w:val="18"/>
          <w:szCs w:val="18"/>
          <w:lang w:val="en-US"/>
        </w:rPr>
        <w:t>A Multifaceted Disease of Tooth-Supporting Tissues.</w:t>
      </w:r>
      <w:r w:rsidRPr="00386886">
        <w:rPr>
          <w:sz w:val="18"/>
          <w:szCs w:val="18"/>
          <w:lang w:val="en-US"/>
        </w:rPr>
        <w:t xml:space="preserve"> </w:t>
      </w:r>
      <w:r w:rsidRPr="00842B17">
        <w:rPr>
          <w:sz w:val="18"/>
          <w:szCs w:val="18"/>
          <w:lang w:val="en-US"/>
        </w:rPr>
        <w:t xml:space="preserve">J Clin Med. </w:t>
      </w:r>
      <w:r w:rsidRPr="00842B17">
        <w:rPr>
          <w:b/>
          <w:bCs/>
          <w:sz w:val="18"/>
          <w:szCs w:val="18"/>
          <w:lang w:val="en-US"/>
        </w:rPr>
        <w:t>2019</w:t>
      </w:r>
      <w:r w:rsidRPr="00842B17">
        <w:rPr>
          <w:sz w:val="18"/>
          <w:szCs w:val="18"/>
          <w:lang w:val="en-US"/>
        </w:rPr>
        <w:t xml:space="preserve"> Jul 31;8(8):1135. doi: 10.3390/jcm8081135. PMID: 31370168; PMCID: PMC6723779.</w:t>
      </w:r>
    </w:p>
    <w:p w14:paraId="00EAA846" w14:textId="77777777" w:rsidR="00386886" w:rsidRPr="00386886" w:rsidRDefault="00386886">
      <w:pPr>
        <w:pStyle w:val="Testonotadichiusura"/>
        <w:rPr>
          <w:lang w:val="en-US"/>
        </w:rPr>
      </w:pPr>
    </w:p>
  </w:endnote>
  <w:endnote w:id="161">
    <w:p w14:paraId="5A01E0C1" w14:textId="2D64AFC6" w:rsidR="00386886" w:rsidRPr="00386886" w:rsidRDefault="00386886" w:rsidP="00386886">
      <w:pPr>
        <w:pStyle w:val="Testonotadichiusura"/>
        <w:jc w:val="both"/>
        <w:rPr>
          <w:lang w:val="en-US"/>
        </w:rPr>
      </w:pPr>
      <w:r>
        <w:rPr>
          <w:rStyle w:val="Rimandonotadichiusura"/>
        </w:rPr>
        <w:endnoteRef/>
      </w:r>
      <w:r w:rsidRPr="00386886">
        <w:rPr>
          <w:lang w:val="en-US"/>
        </w:rPr>
        <w:t xml:space="preserve"> </w:t>
      </w:r>
      <w:r w:rsidRPr="00386886">
        <w:rPr>
          <w:sz w:val="18"/>
          <w:szCs w:val="18"/>
          <w:lang w:val="en-US"/>
        </w:rPr>
        <w:t xml:space="preserve">Akcali A, Huck O, Tenenbaum H, Davideau JL, Buduneli N. </w:t>
      </w:r>
      <w:r w:rsidRPr="00386886">
        <w:rPr>
          <w:i/>
          <w:iCs/>
          <w:sz w:val="18"/>
          <w:szCs w:val="18"/>
          <w:lang w:val="en-US"/>
        </w:rPr>
        <w:t>Periodontal diseases and stress: a brief review</w:t>
      </w:r>
      <w:r w:rsidRPr="00386886">
        <w:rPr>
          <w:sz w:val="18"/>
          <w:szCs w:val="18"/>
          <w:lang w:val="en-US"/>
        </w:rPr>
        <w:t xml:space="preserve">. J Oral Rehabil. </w:t>
      </w:r>
      <w:r w:rsidRPr="00386886">
        <w:rPr>
          <w:b/>
          <w:bCs/>
          <w:sz w:val="18"/>
          <w:szCs w:val="18"/>
          <w:lang w:val="en-US"/>
        </w:rPr>
        <w:t>2013</w:t>
      </w:r>
      <w:r w:rsidRPr="00386886">
        <w:rPr>
          <w:sz w:val="18"/>
          <w:szCs w:val="18"/>
          <w:lang w:val="en-US"/>
        </w:rPr>
        <w:t xml:space="preserve"> Jan;40(1):60-8. doi: 10.1111/j.1365-2842.2012.02341.x. Epub 2012 Aug 7. PMID: 22882663.</w:t>
      </w:r>
    </w:p>
    <w:p w14:paraId="4EADED22" w14:textId="77777777" w:rsidR="00386886" w:rsidRPr="00386886" w:rsidRDefault="00386886">
      <w:pPr>
        <w:pStyle w:val="Testonotadichiusura"/>
        <w:rPr>
          <w:lang w:val="en-US"/>
        </w:rPr>
      </w:pPr>
    </w:p>
  </w:endnote>
  <w:endnote w:id="162">
    <w:p w14:paraId="19A67996" w14:textId="35EE82B5" w:rsidR="00386886" w:rsidRPr="00386886" w:rsidRDefault="00386886" w:rsidP="00386886">
      <w:pPr>
        <w:pStyle w:val="Testonotadichiusura"/>
        <w:jc w:val="both"/>
        <w:rPr>
          <w:lang w:val="en-US"/>
        </w:rPr>
      </w:pPr>
      <w:r>
        <w:rPr>
          <w:rStyle w:val="Rimandonotadichiusura"/>
        </w:rPr>
        <w:endnoteRef/>
      </w:r>
      <w:r w:rsidRPr="00386886">
        <w:t xml:space="preserve"> </w:t>
      </w:r>
      <w:r w:rsidRPr="00386886">
        <w:rPr>
          <w:sz w:val="18"/>
          <w:szCs w:val="18"/>
        </w:rPr>
        <w:t xml:space="preserve">Cabral-Pacheco GA, Garza-Veloz I, Castruita-De la Rosa C, Ramirez-Acuña JM, Perez-Romero BA, Guerrero-Rodriguez JF, Martinez-Avila N, Martinez-Fierro ML. </w:t>
      </w:r>
      <w:r w:rsidRPr="00386886">
        <w:rPr>
          <w:i/>
          <w:iCs/>
          <w:sz w:val="18"/>
          <w:szCs w:val="18"/>
          <w:lang w:val="en-US"/>
        </w:rPr>
        <w:t>The Roles of Matrix Metalloproteinases and Their Inhibitors in Human Diseases.</w:t>
      </w:r>
      <w:r w:rsidRPr="00386886">
        <w:rPr>
          <w:sz w:val="18"/>
          <w:szCs w:val="18"/>
          <w:lang w:val="en-US"/>
        </w:rPr>
        <w:t xml:space="preserve"> Int J Mol Sci. </w:t>
      </w:r>
      <w:r w:rsidRPr="00386886">
        <w:rPr>
          <w:b/>
          <w:bCs/>
          <w:sz w:val="18"/>
          <w:szCs w:val="18"/>
          <w:lang w:val="en-US"/>
        </w:rPr>
        <w:t>2020</w:t>
      </w:r>
      <w:r w:rsidRPr="00386886">
        <w:rPr>
          <w:sz w:val="18"/>
          <w:szCs w:val="18"/>
          <w:lang w:val="en-US"/>
        </w:rPr>
        <w:t xml:space="preserve"> Dec 20;21(24):9739. doi: 10.3390/ijms21249739. PMID: 33419373; PMCID: PMC7767220.</w:t>
      </w:r>
    </w:p>
    <w:p w14:paraId="0195E5B3" w14:textId="77777777" w:rsidR="00386886" w:rsidRPr="00386886" w:rsidRDefault="00386886">
      <w:pPr>
        <w:pStyle w:val="Testonotadichiusura"/>
        <w:rPr>
          <w:lang w:val="en-US"/>
        </w:rPr>
      </w:pPr>
    </w:p>
  </w:endnote>
  <w:endnote w:id="163">
    <w:p w14:paraId="7ABF8BEE" w14:textId="7D96B983" w:rsidR="00386886" w:rsidRPr="00386886" w:rsidRDefault="00386886" w:rsidP="00386886">
      <w:pPr>
        <w:pStyle w:val="Testonotadichiusura"/>
        <w:jc w:val="both"/>
        <w:rPr>
          <w:sz w:val="18"/>
          <w:szCs w:val="18"/>
          <w:lang w:val="en-US"/>
        </w:rPr>
      </w:pPr>
      <w:r>
        <w:rPr>
          <w:rStyle w:val="Rimandonotadichiusura"/>
        </w:rPr>
        <w:endnoteRef/>
      </w:r>
      <w:r w:rsidRPr="00386886">
        <w:rPr>
          <w:lang w:val="en-US"/>
        </w:rPr>
        <w:t xml:space="preserve"> </w:t>
      </w:r>
      <w:r w:rsidRPr="00386886">
        <w:rPr>
          <w:sz w:val="18"/>
          <w:szCs w:val="18"/>
          <w:lang w:val="en-US"/>
        </w:rPr>
        <w:t xml:space="preserve">Lewandowski KC, Komorowski J, O'Callaghan CJ, Tan BK, Chen J, Prelevic GM, Randeva HS. </w:t>
      </w:r>
      <w:r w:rsidRPr="00386886">
        <w:rPr>
          <w:i/>
          <w:iCs/>
          <w:sz w:val="18"/>
          <w:szCs w:val="18"/>
          <w:lang w:val="en-US"/>
        </w:rPr>
        <w:t>Increased circulating levels of matrix metalloproteinase-2 and -9 in women with the polycystic ovary syndrome</w:t>
      </w:r>
      <w:r w:rsidRPr="00386886">
        <w:rPr>
          <w:sz w:val="18"/>
          <w:szCs w:val="18"/>
          <w:lang w:val="en-US"/>
        </w:rPr>
        <w:t xml:space="preserve">. J Clin Endocrinol Metab. </w:t>
      </w:r>
      <w:r w:rsidRPr="00386886">
        <w:rPr>
          <w:b/>
          <w:bCs/>
          <w:sz w:val="18"/>
          <w:szCs w:val="18"/>
          <w:lang w:val="en-US"/>
        </w:rPr>
        <w:t>2006</w:t>
      </w:r>
      <w:r w:rsidRPr="00386886">
        <w:rPr>
          <w:sz w:val="18"/>
          <w:szCs w:val="18"/>
          <w:lang w:val="en-US"/>
        </w:rPr>
        <w:t xml:space="preserve"> Mar;91(3):1173-7. doi: 10.1210/jc.2005-0648. Epub 2005 Dec 6. PMID: 16338908.</w:t>
      </w:r>
    </w:p>
    <w:p w14:paraId="13090809" w14:textId="77777777" w:rsidR="00386886" w:rsidRPr="00386886" w:rsidRDefault="00386886">
      <w:pPr>
        <w:pStyle w:val="Testonotadichiusura"/>
        <w:rPr>
          <w:lang w:val="en-US"/>
        </w:rPr>
      </w:pPr>
    </w:p>
  </w:endnote>
  <w:endnote w:id="164">
    <w:p w14:paraId="62D23507" w14:textId="4FDB5CBF" w:rsidR="00386886" w:rsidRPr="00386886" w:rsidRDefault="00386886" w:rsidP="00386886">
      <w:pPr>
        <w:pStyle w:val="Testonotadichiusura"/>
        <w:jc w:val="both"/>
        <w:rPr>
          <w:lang w:val="en-US"/>
        </w:rPr>
      </w:pPr>
      <w:r>
        <w:rPr>
          <w:rStyle w:val="Rimandonotadichiusura"/>
        </w:rPr>
        <w:endnoteRef/>
      </w:r>
      <w:r w:rsidRPr="00386886">
        <w:rPr>
          <w:lang w:val="en-US"/>
        </w:rPr>
        <w:t xml:space="preserve"> </w:t>
      </w:r>
      <w:r w:rsidRPr="00386886">
        <w:rPr>
          <w:sz w:val="18"/>
          <w:szCs w:val="18"/>
          <w:lang w:val="en-US"/>
        </w:rPr>
        <w:t xml:space="preserve">Márquez-Arrico CF, Silvestre-Rangil J, Gutiérrez-Castillo L, Martinez-Herrera M, Silvestre FJ, Rocha M. </w:t>
      </w:r>
      <w:r w:rsidRPr="00386886">
        <w:rPr>
          <w:i/>
          <w:iCs/>
          <w:sz w:val="18"/>
          <w:szCs w:val="18"/>
          <w:lang w:val="en-US"/>
        </w:rPr>
        <w:t>Association between Periodontal Diseases and Polycystic Ovary Syndrome: A Systematic Review</w:t>
      </w:r>
      <w:r w:rsidRPr="00386886">
        <w:rPr>
          <w:sz w:val="18"/>
          <w:szCs w:val="18"/>
          <w:lang w:val="en-US"/>
        </w:rPr>
        <w:t xml:space="preserve">. J Clin Med. </w:t>
      </w:r>
      <w:r w:rsidRPr="00386886">
        <w:rPr>
          <w:b/>
          <w:bCs/>
          <w:sz w:val="18"/>
          <w:szCs w:val="18"/>
          <w:lang w:val="en-US"/>
        </w:rPr>
        <w:t>2020</w:t>
      </w:r>
      <w:r w:rsidRPr="00386886">
        <w:rPr>
          <w:sz w:val="18"/>
          <w:szCs w:val="18"/>
          <w:lang w:val="en-US"/>
        </w:rPr>
        <w:t xml:space="preserve"> May 23;9(5):1586. doi: 10.3390/jcm9051586. PMID: 32456146; PMCID: PMC7290429.</w:t>
      </w:r>
    </w:p>
    <w:p w14:paraId="386160A2" w14:textId="77777777" w:rsidR="00386886" w:rsidRPr="00386886" w:rsidRDefault="00386886">
      <w:pPr>
        <w:pStyle w:val="Testonotadichiusura"/>
        <w:rPr>
          <w:lang w:val="en-US"/>
        </w:rPr>
      </w:pPr>
    </w:p>
  </w:endnote>
  <w:endnote w:id="165">
    <w:p w14:paraId="1BE9AC5C" w14:textId="1FCC5A55" w:rsidR="00E64CFB" w:rsidRPr="00E64CFB" w:rsidRDefault="00E64CFB" w:rsidP="00961AAF">
      <w:pPr>
        <w:pStyle w:val="Testonotadichiusura"/>
        <w:jc w:val="both"/>
        <w:rPr>
          <w:sz w:val="18"/>
          <w:szCs w:val="18"/>
          <w:lang w:val="en-US"/>
        </w:rPr>
      </w:pPr>
      <w:r>
        <w:rPr>
          <w:rStyle w:val="Rimandonotadichiusura"/>
        </w:rPr>
        <w:endnoteRef/>
      </w:r>
      <w:r w:rsidRPr="00E64CFB">
        <w:rPr>
          <w:lang w:val="en-US"/>
        </w:rPr>
        <w:t xml:space="preserve"> </w:t>
      </w:r>
      <w:r w:rsidRPr="00E64CFB">
        <w:rPr>
          <w:sz w:val="18"/>
          <w:szCs w:val="18"/>
          <w:lang w:val="en-US"/>
        </w:rPr>
        <w:t xml:space="preserve">Wójcik M, Goździewicz T, Hudáková Z, Siatkowski I. </w:t>
      </w:r>
      <w:r w:rsidRPr="00E64CFB">
        <w:rPr>
          <w:i/>
          <w:iCs/>
          <w:sz w:val="18"/>
          <w:szCs w:val="18"/>
          <w:lang w:val="en-US"/>
        </w:rPr>
        <w:t>Endometriosis and the Temporomandibular Joint-Preliminary Observations</w:t>
      </w:r>
      <w:r w:rsidRPr="00E64CFB">
        <w:rPr>
          <w:sz w:val="18"/>
          <w:szCs w:val="18"/>
          <w:lang w:val="en-US"/>
        </w:rPr>
        <w:t xml:space="preserve">. J Clin Med. </w:t>
      </w:r>
      <w:r w:rsidRPr="00E64CFB">
        <w:rPr>
          <w:b/>
          <w:bCs/>
          <w:sz w:val="18"/>
          <w:szCs w:val="18"/>
          <w:lang w:val="en-US"/>
        </w:rPr>
        <w:t>2023</w:t>
      </w:r>
      <w:r w:rsidRPr="00E64CFB">
        <w:rPr>
          <w:sz w:val="18"/>
          <w:szCs w:val="18"/>
          <w:lang w:val="en-US"/>
        </w:rPr>
        <w:t xml:space="preserve"> Apr 14;12(8):2862. doi: 10.3390/jcm12082862. PMID: 37109199; PMCID: PMC10144081.</w:t>
      </w:r>
    </w:p>
    <w:p w14:paraId="00D3F409" w14:textId="77777777" w:rsidR="00E64CFB" w:rsidRPr="00E64CFB" w:rsidRDefault="00E64CFB">
      <w:pPr>
        <w:pStyle w:val="Testonotadichiusura"/>
        <w:rPr>
          <w:lang w:val="en-US"/>
        </w:rPr>
      </w:pPr>
    </w:p>
  </w:endnote>
  <w:endnote w:id="166">
    <w:p w14:paraId="16A5A730" w14:textId="0AB6E238" w:rsidR="00E64CFB" w:rsidRPr="00842B17" w:rsidRDefault="00E64CFB" w:rsidP="00961AAF">
      <w:pPr>
        <w:pStyle w:val="Testonotadichiusura"/>
        <w:jc w:val="both"/>
        <w:rPr>
          <w:lang w:val="en-US"/>
        </w:rPr>
      </w:pPr>
      <w:r>
        <w:rPr>
          <w:rStyle w:val="Rimandonotadichiusura"/>
        </w:rPr>
        <w:endnoteRef/>
      </w:r>
      <w:r w:rsidRPr="00E64CFB">
        <w:rPr>
          <w:lang w:val="en-US"/>
        </w:rPr>
        <w:t xml:space="preserve"> </w:t>
      </w:r>
      <w:r w:rsidRPr="00E64CFB">
        <w:rPr>
          <w:sz w:val="18"/>
          <w:szCs w:val="18"/>
          <w:lang w:val="en-US"/>
        </w:rPr>
        <w:t xml:space="preserve">Gala RJ, Sluga R, Giri S, Sharma R. </w:t>
      </w:r>
      <w:r w:rsidRPr="00E64CFB">
        <w:rPr>
          <w:i/>
          <w:iCs/>
          <w:sz w:val="18"/>
          <w:szCs w:val="18"/>
          <w:lang w:val="en-US"/>
        </w:rPr>
        <w:t>Endometriosis of the mandible: A rare extrapelvic presentation mistaken for a facial fibroma – A case report.</w:t>
      </w:r>
      <w:r w:rsidRPr="00E64CFB">
        <w:rPr>
          <w:sz w:val="18"/>
          <w:szCs w:val="18"/>
          <w:lang w:val="en-US"/>
        </w:rPr>
        <w:t xml:space="preserve"> </w:t>
      </w:r>
      <w:r w:rsidRPr="00842B17">
        <w:rPr>
          <w:sz w:val="18"/>
          <w:szCs w:val="18"/>
          <w:lang w:val="en-US"/>
        </w:rPr>
        <w:t xml:space="preserve">Rev Fac Med Hum. </w:t>
      </w:r>
      <w:r w:rsidRPr="00842B17">
        <w:rPr>
          <w:b/>
          <w:bCs/>
          <w:sz w:val="18"/>
          <w:szCs w:val="18"/>
          <w:lang w:val="en-US"/>
        </w:rPr>
        <w:t>2021</w:t>
      </w:r>
      <w:r w:rsidRPr="00842B17">
        <w:rPr>
          <w:sz w:val="18"/>
          <w:szCs w:val="18"/>
          <w:lang w:val="en-US"/>
        </w:rPr>
        <w:t>;21(2):347–351. doi:10.25176/rfmh.v21i2.4033</w:t>
      </w:r>
    </w:p>
    <w:p w14:paraId="6A9F06F2" w14:textId="77777777" w:rsidR="00E64CFB" w:rsidRPr="00E64CFB" w:rsidRDefault="00E64CFB">
      <w:pPr>
        <w:pStyle w:val="Testonotadichiusura"/>
        <w:rPr>
          <w:lang w:val="en-US"/>
        </w:rPr>
      </w:pPr>
    </w:p>
  </w:endnote>
  <w:endnote w:id="167">
    <w:p w14:paraId="6310DB16" w14:textId="64B00439" w:rsidR="00E45A64" w:rsidRPr="00E45A64"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Broekmans FJ, Knauff EA, te Velde ER, Macklon NS, Fauser BC. </w:t>
      </w:r>
      <w:r w:rsidRPr="00E45A64">
        <w:rPr>
          <w:i/>
          <w:iCs/>
          <w:sz w:val="18"/>
          <w:szCs w:val="18"/>
          <w:lang w:val="en-US"/>
        </w:rPr>
        <w:t xml:space="preserve">Female reproductive ageing: current knowledge and future trends. </w:t>
      </w:r>
      <w:r w:rsidRPr="00E45A64">
        <w:rPr>
          <w:sz w:val="18"/>
          <w:szCs w:val="18"/>
          <w:lang w:val="en-US"/>
        </w:rPr>
        <w:t xml:space="preserve">Trends Endocrinol Metab. </w:t>
      </w:r>
      <w:r w:rsidRPr="00E45A64">
        <w:rPr>
          <w:b/>
          <w:bCs/>
          <w:sz w:val="18"/>
          <w:szCs w:val="18"/>
          <w:lang w:val="en-US"/>
        </w:rPr>
        <w:t>2007</w:t>
      </w:r>
      <w:r w:rsidRPr="00E45A64">
        <w:rPr>
          <w:sz w:val="18"/>
          <w:szCs w:val="18"/>
          <w:lang w:val="en-US"/>
        </w:rPr>
        <w:t xml:space="preserve"> Mar;18(2):58-65. doi: 10.1016/j.tem.2007.01.004. Epub 2007 Feb 1. PMID: 17275321.</w:t>
      </w:r>
    </w:p>
    <w:p w14:paraId="3EB85C21" w14:textId="77777777" w:rsidR="00E45A64" w:rsidRPr="00E45A64" w:rsidRDefault="00E45A64">
      <w:pPr>
        <w:pStyle w:val="Testonotadichiusura"/>
        <w:rPr>
          <w:sz w:val="18"/>
          <w:szCs w:val="18"/>
          <w:lang w:val="en-US"/>
        </w:rPr>
      </w:pPr>
    </w:p>
  </w:endnote>
  <w:endnote w:id="168">
    <w:p w14:paraId="148E24E3" w14:textId="776EE278" w:rsidR="00E45A64" w:rsidRPr="00E45A64" w:rsidRDefault="00E45A64" w:rsidP="00E45A64">
      <w:pPr>
        <w:pStyle w:val="Testonotadichiusura"/>
        <w:jc w:val="both"/>
        <w:rPr>
          <w:sz w:val="18"/>
          <w:szCs w:val="18"/>
          <w:lang w:val="en-US"/>
        </w:rPr>
      </w:pPr>
      <w:r w:rsidRPr="00E45A64">
        <w:rPr>
          <w:rStyle w:val="Rimandonotadichiusura"/>
          <w:sz w:val="18"/>
          <w:szCs w:val="18"/>
        </w:rPr>
        <w:endnoteRef/>
      </w:r>
      <w:r w:rsidRPr="00E45A64">
        <w:rPr>
          <w:sz w:val="18"/>
          <w:szCs w:val="18"/>
          <w:lang w:val="en-US"/>
        </w:rPr>
        <w:t xml:space="preserve"> Khosla S, Melton LJ 3rd, Riggs BL. Clinical review 144: </w:t>
      </w:r>
      <w:r w:rsidRPr="00E45A64">
        <w:rPr>
          <w:i/>
          <w:iCs/>
          <w:sz w:val="18"/>
          <w:szCs w:val="18"/>
          <w:lang w:val="en-US"/>
        </w:rPr>
        <w:t>Estrogen and the male skeleton.</w:t>
      </w:r>
      <w:r w:rsidRPr="00E45A64">
        <w:rPr>
          <w:sz w:val="18"/>
          <w:szCs w:val="18"/>
          <w:lang w:val="en-US"/>
        </w:rPr>
        <w:t xml:space="preserve"> J Clin Endocrinol Metab. </w:t>
      </w:r>
      <w:r w:rsidRPr="00E45A64">
        <w:rPr>
          <w:b/>
          <w:bCs/>
          <w:sz w:val="18"/>
          <w:szCs w:val="18"/>
          <w:lang w:val="en-US"/>
        </w:rPr>
        <w:t>2002</w:t>
      </w:r>
      <w:r w:rsidRPr="00E45A64">
        <w:rPr>
          <w:sz w:val="18"/>
          <w:szCs w:val="18"/>
          <w:lang w:val="en-US"/>
        </w:rPr>
        <w:t xml:space="preserve"> Apr;87(4):1443-50. doi: 10.1210/jcem.87.4.8417. PMID: 11932262.</w:t>
      </w:r>
    </w:p>
    <w:p w14:paraId="07F9A33F" w14:textId="77777777" w:rsidR="00E45A64" w:rsidRPr="00E45A64" w:rsidRDefault="00E45A64">
      <w:pPr>
        <w:pStyle w:val="Testonotadichiusura"/>
        <w:rPr>
          <w:lang w:val="en-US"/>
        </w:rPr>
      </w:pPr>
    </w:p>
  </w:endnote>
  <w:endnote w:id="169">
    <w:p w14:paraId="6699CA31" w14:textId="2411DA8A" w:rsidR="00E45A64" w:rsidRPr="00842B17"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Sun L, Peng Y, Sharrow AC, Iqbal J, Zhang Z, Papachristou DJ, Zaidi S, Zhu LL, Yaroslavskiy BB, Zhou H, Zallone A, Sairam MR, Kumar TR, Bo W, Braun J, Cardoso-Landa L, Schaffler MB, Moonga BS, Blair HC, Zaidi M. </w:t>
      </w:r>
      <w:r w:rsidRPr="00E45A64">
        <w:rPr>
          <w:i/>
          <w:iCs/>
          <w:sz w:val="18"/>
          <w:szCs w:val="18"/>
          <w:lang w:val="en-US"/>
        </w:rPr>
        <w:t>FSH directly regulates bone mass.</w:t>
      </w:r>
      <w:r w:rsidRPr="00E45A64">
        <w:rPr>
          <w:sz w:val="18"/>
          <w:szCs w:val="18"/>
          <w:lang w:val="en-US"/>
        </w:rPr>
        <w:t xml:space="preserve"> </w:t>
      </w:r>
      <w:r w:rsidRPr="00842B17">
        <w:rPr>
          <w:sz w:val="18"/>
          <w:szCs w:val="18"/>
          <w:lang w:val="en-US"/>
        </w:rPr>
        <w:t xml:space="preserve">Cell. </w:t>
      </w:r>
      <w:r w:rsidRPr="00842B17">
        <w:rPr>
          <w:b/>
          <w:bCs/>
          <w:sz w:val="18"/>
          <w:szCs w:val="18"/>
          <w:lang w:val="en-US"/>
        </w:rPr>
        <w:t>2006</w:t>
      </w:r>
      <w:r w:rsidRPr="00842B17">
        <w:rPr>
          <w:sz w:val="18"/>
          <w:szCs w:val="18"/>
          <w:lang w:val="en-US"/>
        </w:rPr>
        <w:t xml:space="preserve"> Apr 21;125(2):247-60. doi: 10.1016/j.cell.2006.01.051. PMID: 16630814.</w:t>
      </w:r>
    </w:p>
    <w:p w14:paraId="20FA82D6" w14:textId="77777777" w:rsidR="00E45A64" w:rsidRPr="00E45A64" w:rsidRDefault="00E45A64">
      <w:pPr>
        <w:pStyle w:val="Testonotadichiusura"/>
        <w:rPr>
          <w:lang w:val="en-US"/>
        </w:rPr>
      </w:pPr>
    </w:p>
  </w:endnote>
  <w:endnote w:id="170">
    <w:p w14:paraId="78DB7AFE" w14:textId="414D2680" w:rsidR="00E45A64" w:rsidRPr="00E45A64"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Khosla S, Oursler MJ, Monroe DG. </w:t>
      </w:r>
      <w:r w:rsidRPr="00E45A64">
        <w:rPr>
          <w:i/>
          <w:iCs/>
          <w:sz w:val="18"/>
          <w:szCs w:val="18"/>
          <w:lang w:val="en-US"/>
        </w:rPr>
        <w:t>Estrogen and the skeleton.</w:t>
      </w:r>
      <w:r w:rsidRPr="00E45A64">
        <w:rPr>
          <w:sz w:val="18"/>
          <w:szCs w:val="18"/>
          <w:lang w:val="en-US"/>
        </w:rPr>
        <w:t xml:space="preserve"> Trends Endocrinol Metab. 2012 Nov;23(11):576-81. doi: 10.1016/j.tem.2012.03.008. Epub </w:t>
      </w:r>
      <w:r w:rsidRPr="00E45A64">
        <w:rPr>
          <w:b/>
          <w:bCs/>
          <w:sz w:val="18"/>
          <w:szCs w:val="18"/>
          <w:lang w:val="en-US"/>
        </w:rPr>
        <w:t>2012</w:t>
      </w:r>
      <w:r w:rsidRPr="00E45A64">
        <w:rPr>
          <w:sz w:val="18"/>
          <w:szCs w:val="18"/>
          <w:lang w:val="en-US"/>
        </w:rPr>
        <w:t xml:space="preserve"> May 16. PMID: 22595550; PMCID: PMC3424385.</w:t>
      </w:r>
    </w:p>
    <w:p w14:paraId="4F5F5B31" w14:textId="77777777" w:rsidR="00E45A64" w:rsidRPr="00E45A64" w:rsidRDefault="00E45A64">
      <w:pPr>
        <w:pStyle w:val="Testonotadichiusura"/>
        <w:rPr>
          <w:lang w:val="en-US"/>
        </w:rPr>
      </w:pPr>
    </w:p>
  </w:endnote>
  <w:endnote w:id="171">
    <w:p w14:paraId="0E97DC33" w14:textId="42B03E65" w:rsidR="00E45A64" w:rsidRDefault="00E45A64">
      <w:pPr>
        <w:pStyle w:val="Testonotadichiusura"/>
        <w:rPr>
          <w:lang w:val="en-US"/>
        </w:rPr>
      </w:pPr>
      <w:r>
        <w:rPr>
          <w:rStyle w:val="Rimandonotadichiusura"/>
        </w:rPr>
        <w:endnoteRef/>
      </w:r>
      <w:r w:rsidRPr="00E45A64">
        <w:rPr>
          <w:lang w:val="en-US"/>
        </w:rPr>
        <w:t xml:space="preserve"> </w:t>
      </w:r>
      <w:r w:rsidRPr="00E45A64">
        <w:rPr>
          <w:sz w:val="18"/>
          <w:szCs w:val="18"/>
          <w:lang w:val="en-US"/>
        </w:rPr>
        <w:t xml:space="preserve">Manolagas SC. </w:t>
      </w:r>
      <w:r w:rsidRPr="00E45A64">
        <w:rPr>
          <w:i/>
          <w:iCs/>
          <w:sz w:val="18"/>
          <w:szCs w:val="18"/>
          <w:lang w:val="en-US"/>
        </w:rPr>
        <w:t>From estrogen-centric to aging and oxidative stress: a revised perspective of the pathogenesis of osteoporosis.</w:t>
      </w:r>
      <w:r w:rsidRPr="00E45A64">
        <w:rPr>
          <w:sz w:val="18"/>
          <w:szCs w:val="18"/>
          <w:lang w:val="en-US"/>
        </w:rPr>
        <w:t xml:space="preserve"> Endocr Rev. </w:t>
      </w:r>
      <w:r w:rsidRPr="00E45A64">
        <w:rPr>
          <w:b/>
          <w:bCs/>
          <w:sz w:val="18"/>
          <w:szCs w:val="18"/>
          <w:lang w:val="en-US"/>
        </w:rPr>
        <w:t>2010</w:t>
      </w:r>
      <w:r w:rsidRPr="00E45A64">
        <w:rPr>
          <w:sz w:val="18"/>
          <w:szCs w:val="18"/>
          <w:lang w:val="en-US"/>
        </w:rPr>
        <w:t xml:space="preserve"> Jun;31(3):266-300. doi: 10.1210/er.2009-0024. Epub 2010 Jan 5. PMID: 20051526; PMCID: PMC3365845.</w:t>
      </w:r>
    </w:p>
    <w:p w14:paraId="69EFB622" w14:textId="77777777" w:rsidR="00E45A64" w:rsidRPr="00E45A64" w:rsidRDefault="00E45A64">
      <w:pPr>
        <w:pStyle w:val="Testonotadichiusura"/>
        <w:rPr>
          <w:lang w:val="en-US"/>
        </w:rPr>
      </w:pPr>
    </w:p>
  </w:endnote>
  <w:endnote w:id="172">
    <w:p w14:paraId="0E99D120" w14:textId="4378D92C" w:rsidR="00E45A64" w:rsidRPr="00E45A64"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Alviggi C, Vigilante L, Cariati F, Conforti A, Humaidan P. </w:t>
      </w:r>
      <w:r w:rsidRPr="00E45A64">
        <w:rPr>
          <w:i/>
          <w:iCs/>
          <w:sz w:val="18"/>
          <w:szCs w:val="18"/>
          <w:lang w:val="en-US"/>
        </w:rPr>
        <w:t>The role of recombinant LH in ovarian stimulation: what's new? Reprod Biol Endocrinol.</w:t>
      </w:r>
      <w:r w:rsidRPr="00E45A64">
        <w:rPr>
          <w:sz w:val="18"/>
          <w:szCs w:val="18"/>
          <w:lang w:val="en-US"/>
        </w:rPr>
        <w:t xml:space="preserve"> </w:t>
      </w:r>
      <w:r w:rsidRPr="00E45A64">
        <w:rPr>
          <w:b/>
          <w:bCs/>
          <w:sz w:val="18"/>
          <w:szCs w:val="18"/>
          <w:lang w:val="en-US"/>
        </w:rPr>
        <w:t>2025</w:t>
      </w:r>
      <w:r w:rsidRPr="00E45A64">
        <w:rPr>
          <w:sz w:val="18"/>
          <w:szCs w:val="18"/>
          <w:lang w:val="en-US"/>
        </w:rPr>
        <w:t xml:space="preserve"> Mar 10;23(Suppl 1):38. doi: 10.1186/s12958-025-01361-8. PMID: 40059197; PMCID: PMC11892182.</w:t>
      </w:r>
    </w:p>
    <w:p w14:paraId="55AF2D1C" w14:textId="77777777" w:rsidR="00E45A64" w:rsidRPr="00E45A64" w:rsidRDefault="00E45A64">
      <w:pPr>
        <w:pStyle w:val="Testonotadichiusura"/>
        <w:rPr>
          <w:lang w:val="en-US"/>
        </w:rPr>
      </w:pPr>
    </w:p>
  </w:endnote>
  <w:endnote w:id="173">
    <w:p w14:paraId="24CFE104" w14:textId="109B5102" w:rsidR="00E45A64"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Li X, Zeng C, Shang J, Wang S, Gao XL, Xue Q. </w:t>
      </w:r>
      <w:r w:rsidRPr="00E45A64">
        <w:rPr>
          <w:i/>
          <w:iCs/>
          <w:sz w:val="18"/>
          <w:szCs w:val="18"/>
          <w:lang w:val="en-US"/>
        </w:rPr>
        <w:t>Association between serum estradiol level on the human chorionic gonadotrophin administration day and clinical outcome</w:t>
      </w:r>
      <w:r w:rsidRPr="00E45A64">
        <w:rPr>
          <w:sz w:val="18"/>
          <w:szCs w:val="18"/>
          <w:lang w:val="en-US"/>
        </w:rPr>
        <w:t xml:space="preserve">. Chin Med J (Engl). </w:t>
      </w:r>
      <w:r w:rsidRPr="00E45A64">
        <w:rPr>
          <w:b/>
          <w:bCs/>
          <w:sz w:val="18"/>
          <w:szCs w:val="18"/>
          <w:lang w:val="en-US"/>
        </w:rPr>
        <w:t>2019</w:t>
      </w:r>
      <w:r w:rsidRPr="00E45A64">
        <w:rPr>
          <w:sz w:val="18"/>
          <w:szCs w:val="18"/>
          <w:lang w:val="en-US"/>
        </w:rPr>
        <w:t xml:space="preserve"> May 20;132(10):1194-1201. doi: 10.1097/CM9.0000000000000251. PMID: 30973445; PMCID: PMC6511421.</w:t>
      </w:r>
    </w:p>
    <w:p w14:paraId="6463CA19" w14:textId="77777777" w:rsidR="00E45A64" w:rsidRPr="00E45A64" w:rsidRDefault="00E45A64">
      <w:pPr>
        <w:pStyle w:val="Testonotadichiusura"/>
        <w:rPr>
          <w:lang w:val="en-US"/>
        </w:rPr>
      </w:pPr>
    </w:p>
  </w:endnote>
  <w:endnote w:id="174">
    <w:p w14:paraId="1EA43A7B" w14:textId="0D4AC675" w:rsidR="00E45A64" w:rsidRPr="00E45A64" w:rsidRDefault="00E45A64" w:rsidP="00E45A64">
      <w:pPr>
        <w:pStyle w:val="Testonotadichiusura"/>
        <w:jc w:val="both"/>
        <w:rPr>
          <w:lang w:val="en-US"/>
        </w:rPr>
      </w:pPr>
      <w:r>
        <w:rPr>
          <w:rStyle w:val="Rimandonotadichiusura"/>
        </w:rPr>
        <w:endnoteRef/>
      </w:r>
      <w:r w:rsidRPr="00E45A64">
        <w:rPr>
          <w:lang w:val="en-US"/>
        </w:rPr>
        <w:t xml:space="preserve"> </w:t>
      </w:r>
      <w:r w:rsidRPr="00E45A64">
        <w:rPr>
          <w:sz w:val="18"/>
          <w:szCs w:val="18"/>
          <w:lang w:val="en-US"/>
        </w:rPr>
        <w:t xml:space="preserve">Ezcurra D, Humaidan P. </w:t>
      </w:r>
      <w:r w:rsidRPr="00E45A64">
        <w:rPr>
          <w:i/>
          <w:iCs/>
          <w:sz w:val="18"/>
          <w:szCs w:val="18"/>
          <w:lang w:val="en-US"/>
        </w:rPr>
        <w:t>A review of luteinising hormone and human chorionic gonadotropin when used in assisted reproductive technology.</w:t>
      </w:r>
      <w:r w:rsidRPr="00E45A64">
        <w:rPr>
          <w:sz w:val="18"/>
          <w:szCs w:val="18"/>
          <w:lang w:val="en-US"/>
        </w:rPr>
        <w:t xml:space="preserve"> Reprod Biol Endocrinol. </w:t>
      </w:r>
      <w:r w:rsidRPr="00E45A64">
        <w:rPr>
          <w:b/>
          <w:bCs/>
          <w:sz w:val="18"/>
          <w:szCs w:val="18"/>
          <w:lang w:val="en-US"/>
        </w:rPr>
        <w:t>2014</w:t>
      </w:r>
      <w:r w:rsidRPr="00E45A64">
        <w:rPr>
          <w:sz w:val="18"/>
          <w:szCs w:val="18"/>
          <w:lang w:val="en-US"/>
        </w:rPr>
        <w:t xml:space="preserve"> Oct 3;12:95. doi: 10.1186/1477-7827-12-95. PMID: 25280580; PMCID: PMC4287577.</w:t>
      </w:r>
    </w:p>
    <w:p w14:paraId="5FFAAA52" w14:textId="77777777" w:rsidR="00E45A64" w:rsidRPr="00E45A64" w:rsidRDefault="00E45A64">
      <w:pPr>
        <w:pStyle w:val="Testonotadichiusura"/>
        <w:rPr>
          <w:lang w:val="en-US"/>
        </w:rPr>
      </w:pPr>
    </w:p>
  </w:endnote>
  <w:endnote w:id="175">
    <w:p w14:paraId="2EC9F3F2" w14:textId="5214CC55" w:rsidR="00F8622A" w:rsidRPr="00842B17" w:rsidRDefault="00F8622A" w:rsidP="00F8622A">
      <w:pPr>
        <w:pStyle w:val="Testonotadichiusura"/>
        <w:jc w:val="both"/>
        <w:rPr>
          <w:lang w:val="en-US"/>
        </w:rPr>
      </w:pPr>
      <w:r>
        <w:rPr>
          <w:rStyle w:val="Rimandonotadichiusura"/>
        </w:rPr>
        <w:endnoteRef/>
      </w:r>
      <w:r w:rsidRPr="00F8622A">
        <w:rPr>
          <w:lang w:val="en-US"/>
        </w:rPr>
        <w:t xml:space="preserve"> </w:t>
      </w:r>
      <w:r w:rsidRPr="00F8622A">
        <w:rPr>
          <w:sz w:val="18"/>
          <w:szCs w:val="18"/>
          <w:lang w:val="en-US"/>
        </w:rPr>
        <w:t xml:space="preserve">Zhu LL, Blair H, Cao J, Yuen T, Latif R, Guo L, Tourkova IL, Li J, Davies TF, Sun L, Bian Z, Rosen C, Zallone A, New MI, Zaidi M. </w:t>
      </w:r>
      <w:r w:rsidRPr="00F8622A">
        <w:rPr>
          <w:i/>
          <w:iCs/>
          <w:sz w:val="18"/>
          <w:szCs w:val="18"/>
          <w:lang w:val="en-US"/>
        </w:rPr>
        <w:t xml:space="preserve">Blocking antibody to the </w:t>
      </w:r>
      <w:r w:rsidRPr="00F8622A">
        <w:rPr>
          <w:i/>
          <w:iCs/>
          <w:sz w:val="18"/>
          <w:szCs w:val="18"/>
        </w:rPr>
        <w:t>β</w:t>
      </w:r>
      <w:r w:rsidRPr="00F8622A">
        <w:rPr>
          <w:i/>
          <w:iCs/>
          <w:sz w:val="18"/>
          <w:szCs w:val="18"/>
          <w:lang w:val="en-US"/>
        </w:rPr>
        <w:t>-subunit of FSH prevents bone loss by inhibiting bone resorption and stimulating bone synthesis.</w:t>
      </w:r>
      <w:r w:rsidRPr="00F8622A">
        <w:rPr>
          <w:sz w:val="18"/>
          <w:szCs w:val="18"/>
          <w:lang w:val="en-US"/>
        </w:rPr>
        <w:t xml:space="preserve"> Proc Natl Acad Sci U S A. </w:t>
      </w:r>
      <w:r w:rsidRPr="00F8622A">
        <w:rPr>
          <w:b/>
          <w:bCs/>
          <w:sz w:val="18"/>
          <w:szCs w:val="18"/>
          <w:lang w:val="en-US"/>
        </w:rPr>
        <w:t>2012</w:t>
      </w:r>
      <w:r w:rsidRPr="00F8622A">
        <w:rPr>
          <w:sz w:val="18"/>
          <w:szCs w:val="18"/>
          <w:lang w:val="en-US"/>
        </w:rPr>
        <w:t xml:space="preserve"> Sep 4;109(36):14574-9. doi: 10.1073/pnas.1212806109. </w:t>
      </w:r>
      <w:r w:rsidRPr="00842B17">
        <w:rPr>
          <w:sz w:val="18"/>
          <w:szCs w:val="18"/>
          <w:lang w:val="en-US"/>
        </w:rPr>
        <w:t>Epub 2012 Aug 20. PMID: 22908268; PMCID: PMC3437842.</w:t>
      </w:r>
    </w:p>
    <w:p w14:paraId="630669D8" w14:textId="77777777" w:rsidR="00F8622A" w:rsidRPr="00842B17" w:rsidRDefault="00F8622A">
      <w:pPr>
        <w:pStyle w:val="Testonotadichiusura"/>
        <w:rPr>
          <w:lang w:val="en-US"/>
        </w:rPr>
      </w:pPr>
    </w:p>
  </w:endnote>
  <w:endnote w:id="176">
    <w:p w14:paraId="137A46C8" w14:textId="7E9D2047" w:rsidR="007F3F1C" w:rsidRPr="007F3F1C" w:rsidRDefault="007F3F1C" w:rsidP="0072132A">
      <w:pPr>
        <w:pStyle w:val="Testonotadichiusura"/>
        <w:jc w:val="both"/>
        <w:rPr>
          <w:sz w:val="18"/>
          <w:szCs w:val="18"/>
          <w:lang w:val="en-US"/>
        </w:rPr>
      </w:pPr>
      <w:r>
        <w:rPr>
          <w:rStyle w:val="Rimandonotadichiusura"/>
        </w:rPr>
        <w:endnoteRef/>
      </w:r>
      <w:r w:rsidRPr="00842B17">
        <w:rPr>
          <w:lang w:val="en-US"/>
        </w:rPr>
        <w:t xml:space="preserve"> </w:t>
      </w:r>
      <w:r w:rsidR="00840002" w:rsidRPr="00842B17">
        <w:rPr>
          <w:sz w:val="18"/>
          <w:szCs w:val="18"/>
          <w:lang w:val="en-US"/>
        </w:rPr>
        <w:t xml:space="preserve">Laganà AS, Garzon S, Götte M, Viganò P, Franchi M, Ghezzi F, Martin DC. </w:t>
      </w:r>
      <w:r w:rsidR="00840002" w:rsidRPr="007F3F1C">
        <w:rPr>
          <w:i/>
          <w:iCs/>
          <w:sz w:val="18"/>
          <w:szCs w:val="18"/>
          <w:lang w:val="en-US"/>
        </w:rPr>
        <w:t>The Pathogenesis of Endometriosis: Molecular and Cell Biology Insights.</w:t>
      </w:r>
      <w:r w:rsidR="00840002" w:rsidRPr="007F3F1C">
        <w:rPr>
          <w:sz w:val="18"/>
          <w:szCs w:val="18"/>
          <w:lang w:val="en-US"/>
        </w:rPr>
        <w:t xml:space="preserve"> Int J Mol Sci. </w:t>
      </w:r>
      <w:r w:rsidR="00840002" w:rsidRPr="007F3F1C">
        <w:rPr>
          <w:b/>
          <w:bCs/>
          <w:sz w:val="18"/>
          <w:szCs w:val="18"/>
          <w:lang w:val="en-US"/>
        </w:rPr>
        <w:t>2019</w:t>
      </w:r>
      <w:r w:rsidR="00840002" w:rsidRPr="007F3F1C">
        <w:rPr>
          <w:sz w:val="18"/>
          <w:szCs w:val="18"/>
          <w:lang w:val="en-US"/>
        </w:rPr>
        <w:t xml:space="preserve"> Nov 10;20(22):5615. doi: 10.3390/ijms20225615. PMID: 31717614; PMCID: PMC6888544</w:t>
      </w:r>
      <w:r w:rsidR="00840002">
        <w:rPr>
          <w:sz w:val="18"/>
          <w:szCs w:val="18"/>
          <w:lang w:val="en-US"/>
        </w:rPr>
        <w:t xml:space="preserve"> </w:t>
      </w:r>
    </w:p>
    <w:p w14:paraId="54FA1BB4" w14:textId="77777777" w:rsidR="007F3F1C" w:rsidRPr="007F3F1C" w:rsidRDefault="007F3F1C" w:rsidP="0072132A">
      <w:pPr>
        <w:pStyle w:val="Testonotadichiusura"/>
        <w:jc w:val="both"/>
        <w:rPr>
          <w:lang w:val="en-US"/>
        </w:rPr>
      </w:pPr>
    </w:p>
  </w:endnote>
  <w:endnote w:id="177">
    <w:p w14:paraId="1A05B94F" w14:textId="77777777" w:rsidR="007F3F1C" w:rsidRPr="007F3F1C" w:rsidRDefault="007F3F1C" w:rsidP="0072132A">
      <w:pPr>
        <w:pStyle w:val="Testonotadichiusura"/>
        <w:jc w:val="both"/>
        <w:rPr>
          <w:lang w:val="en-US"/>
        </w:rPr>
      </w:pPr>
      <w:r>
        <w:rPr>
          <w:rStyle w:val="Rimandonotadichiusura"/>
        </w:rPr>
        <w:endnoteRef/>
      </w:r>
      <w:r w:rsidRPr="007F3F1C">
        <w:rPr>
          <w:lang w:val="en-US"/>
        </w:rPr>
        <w:t xml:space="preserve"> </w:t>
      </w:r>
      <w:r w:rsidRPr="007F3F1C">
        <w:rPr>
          <w:sz w:val="18"/>
          <w:szCs w:val="18"/>
          <w:lang w:val="en-US"/>
        </w:rPr>
        <w:t xml:space="preserve">Monnin N, Fattet AJ, Koscinski I. </w:t>
      </w:r>
      <w:r w:rsidRPr="007F3F1C">
        <w:rPr>
          <w:i/>
          <w:iCs/>
          <w:sz w:val="18"/>
          <w:szCs w:val="18"/>
          <w:lang w:val="en-US"/>
        </w:rPr>
        <w:t>Endometriosis: Update of Pathophysiology, (Epi) Genetic and Environmental Involvement. Biomedicines.</w:t>
      </w:r>
      <w:r w:rsidRPr="007F3F1C">
        <w:rPr>
          <w:b/>
          <w:bCs/>
          <w:i/>
          <w:iCs/>
          <w:sz w:val="18"/>
          <w:szCs w:val="18"/>
          <w:lang w:val="en-US"/>
        </w:rPr>
        <w:t xml:space="preserve"> </w:t>
      </w:r>
      <w:r w:rsidRPr="007F3F1C">
        <w:rPr>
          <w:b/>
          <w:bCs/>
          <w:sz w:val="18"/>
          <w:szCs w:val="18"/>
          <w:lang w:val="en-US"/>
        </w:rPr>
        <w:t>2023</w:t>
      </w:r>
      <w:r w:rsidRPr="007F3F1C">
        <w:rPr>
          <w:sz w:val="18"/>
          <w:szCs w:val="18"/>
          <w:lang w:val="en-US"/>
        </w:rPr>
        <w:t xml:space="preserve"> Mar 22;11(3):978. doi: 10.3390/biomedicines11030978. PMID: 36979957; PMCID: PMC10046867.</w:t>
      </w:r>
    </w:p>
    <w:p w14:paraId="68A2DB45" w14:textId="77777777" w:rsidR="007F3F1C" w:rsidRPr="007F3F1C" w:rsidRDefault="007F3F1C" w:rsidP="0072132A">
      <w:pPr>
        <w:pStyle w:val="Testonotadichiusura"/>
        <w:jc w:val="both"/>
        <w:rPr>
          <w:lang w:val="en-US"/>
        </w:rPr>
      </w:pPr>
    </w:p>
  </w:endnote>
  <w:endnote w:id="178">
    <w:p w14:paraId="22443D69" w14:textId="1D5ED590" w:rsidR="00840002" w:rsidRPr="007F3F1C" w:rsidRDefault="007F3F1C" w:rsidP="0072132A">
      <w:pPr>
        <w:pStyle w:val="Testonotadichiusura"/>
        <w:jc w:val="both"/>
        <w:rPr>
          <w:sz w:val="18"/>
          <w:szCs w:val="18"/>
          <w:lang w:val="en-US"/>
        </w:rPr>
      </w:pPr>
      <w:r>
        <w:rPr>
          <w:rStyle w:val="Rimandonotadichiusura"/>
        </w:rPr>
        <w:endnoteRef/>
      </w:r>
      <w:r w:rsidR="00840002" w:rsidRPr="00BD122B">
        <w:rPr>
          <w:sz w:val="18"/>
          <w:szCs w:val="18"/>
          <w:lang w:val="en-US"/>
        </w:rPr>
        <w:t xml:space="preserve"> Ortega-Gutiérrez M, Muñoz-Gamez A, Girón-Prieto MS. </w:t>
      </w:r>
      <w:r w:rsidR="00840002" w:rsidRPr="007F3F1C">
        <w:rPr>
          <w:i/>
          <w:iCs/>
          <w:sz w:val="18"/>
          <w:szCs w:val="18"/>
          <w:lang w:val="en-US"/>
        </w:rPr>
        <w:t>Primary Care Approach to Endometriosis: Diagnostic Challenges and Management Strategies-A Narrative Review.</w:t>
      </w:r>
      <w:r w:rsidR="00840002" w:rsidRPr="007F3F1C">
        <w:rPr>
          <w:sz w:val="18"/>
          <w:szCs w:val="18"/>
          <w:lang w:val="en-US"/>
        </w:rPr>
        <w:t xml:space="preserve"> J Clin Med. </w:t>
      </w:r>
      <w:r w:rsidR="00840002" w:rsidRPr="007F3F1C">
        <w:rPr>
          <w:b/>
          <w:bCs/>
          <w:sz w:val="18"/>
          <w:szCs w:val="18"/>
          <w:lang w:val="en-US"/>
        </w:rPr>
        <w:t>2025</w:t>
      </w:r>
      <w:r w:rsidR="00840002" w:rsidRPr="007F3F1C">
        <w:rPr>
          <w:sz w:val="18"/>
          <w:szCs w:val="18"/>
          <w:lang w:val="en-US"/>
        </w:rPr>
        <w:t xml:space="preserve"> Jul 4;14(13):4757. doi: 10.3390/jcm14134757. PMID: 40649131; PMCID: PMC12251040.</w:t>
      </w:r>
    </w:p>
    <w:p w14:paraId="26845B70" w14:textId="77777777" w:rsidR="007F3F1C" w:rsidRPr="007F3F1C" w:rsidRDefault="007F3F1C" w:rsidP="0072132A">
      <w:pPr>
        <w:pStyle w:val="Testonotadichiusura"/>
        <w:jc w:val="both"/>
        <w:rPr>
          <w:lang w:val="en-US"/>
        </w:rPr>
      </w:pPr>
    </w:p>
  </w:endnote>
  <w:endnote w:id="179">
    <w:p w14:paraId="2BEA1B22" w14:textId="38AC3A61" w:rsidR="00840002" w:rsidRPr="00840002" w:rsidRDefault="00840002" w:rsidP="0072132A">
      <w:pPr>
        <w:pStyle w:val="Testonotadichiusura"/>
        <w:jc w:val="both"/>
        <w:rPr>
          <w:lang w:val="en-US"/>
        </w:rPr>
      </w:pPr>
      <w:r>
        <w:rPr>
          <w:rStyle w:val="Rimandonotadichiusura"/>
        </w:rPr>
        <w:endnoteRef/>
      </w:r>
      <w:r w:rsidRPr="00840002">
        <w:rPr>
          <w:lang w:val="en-US"/>
        </w:rPr>
        <w:t xml:space="preserve"> </w:t>
      </w:r>
      <w:r w:rsidRPr="00840002">
        <w:rPr>
          <w:sz w:val="18"/>
          <w:szCs w:val="18"/>
          <w:lang w:val="en-US"/>
        </w:rPr>
        <w:t xml:space="preserve">Chen Y, Waseem S, Luo L. </w:t>
      </w:r>
      <w:r w:rsidRPr="00840002">
        <w:rPr>
          <w:i/>
          <w:iCs/>
          <w:sz w:val="18"/>
          <w:szCs w:val="18"/>
          <w:lang w:val="en-US"/>
        </w:rPr>
        <w:t xml:space="preserve">Advances in the diagnosis and management of endometriosis: A comprehensive review. </w:t>
      </w:r>
      <w:r w:rsidRPr="00840002">
        <w:rPr>
          <w:sz w:val="18"/>
          <w:szCs w:val="18"/>
          <w:lang w:val="en-US"/>
        </w:rPr>
        <w:t xml:space="preserve">Pathol Res Pract. </w:t>
      </w:r>
      <w:r w:rsidRPr="00840002">
        <w:rPr>
          <w:b/>
          <w:bCs/>
          <w:sz w:val="18"/>
          <w:szCs w:val="18"/>
          <w:lang w:val="en-US"/>
        </w:rPr>
        <w:t>2025</w:t>
      </w:r>
      <w:r w:rsidRPr="00840002">
        <w:rPr>
          <w:sz w:val="18"/>
          <w:szCs w:val="18"/>
          <w:lang w:val="en-US"/>
        </w:rPr>
        <w:t xml:space="preserve"> Feb;266:155813. doi: 10.1016/j.prp.2025.155813. Epub 2025 Jan 9. PMID: 39808858.</w:t>
      </w:r>
    </w:p>
    <w:p w14:paraId="424C6B26" w14:textId="77777777" w:rsidR="00840002" w:rsidRPr="00840002" w:rsidRDefault="00840002" w:rsidP="0072132A">
      <w:pPr>
        <w:pStyle w:val="Testonotadichiusura"/>
        <w:jc w:val="both"/>
        <w:rPr>
          <w:lang w:val="en-US"/>
        </w:rPr>
      </w:pPr>
    </w:p>
  </w:endnote>
  <w:endnote w:id="180">
    <w:p w14:paraId="61049CF0" w14:textId="7F1D07F6" w:rsidR="00D3663A" w:rsidRPr="00F97FD6" w:rsidRDefault="00D3663A" w:rsidP="00D3663A">
      <w:pPr>
        <w:pStyle w:val="Testonotadichiusura"/>
        <w:jc w:val="both"/>
        <w:rPr>
          <w:lang w:val="en-US"/>
        </w:rPr>
      </w:pPr>
      <w:r>
        <w:rPr>
          <w:rStyle w:val="Rimandonotadichiusura"/>
        </w:rPr>
        <w:endnoteRef/>
      </w:r>
      <w:r w:rsidRPr="00D3663A">
        <w:rPr>
          <w:lang w:val="en-US"/>
        </w:rPr>
        <w:t xml:space="preserve"> </w:t>
      </w:r>
      <w:r w:rsidRPr="00D3663A">
        <w:rPr>
          <w:sz w:val="18"/>
          <w:szCs w:val="18"/>
          <w:lang w:val="en-US"/>
        </w:rPr>
        <w:t xml:space="preserve">Anglesio MS, Papadopoulos N, Ayhan A, Nazeran TM, Noë M, Horlings HM, Lum A, Jones S, Senz J, Seckin T, Ho J, Wu RC, Lac V, Ogawa H, Tessier-Cloutier B, Alhassan R, Wang A, Wang Y, Cohen JD, Wong F, Hasanovic A, Orr N, Zhang M, Popoli M, McMahon W, Wood LD, Mattox A, Allaire C, Segars J, Williams C, Tomasetti C, Boyd N, Kinzler KW, Gilks CB, Diaz L, Wang TL, Vogelstein B, Yong PJ, Huntsman DG, Shih IM. </w:t>
      </w:r>
      <w:r w:rsidRPr="00D3663A">
        <w:rPr>
          <w:i/>
          <w:iCs/>
          <w:sz w:val="18"/>
          <w:szCs w:val="18"/>
          <w:lang w:val="en-US"/>
        </w:rPr>
        <w:t>Cancer-Associated Mutations in Endometriosis without Cancer</w:t>
      </w:r>
      <w:r w:rsidRPr="00D3663A">
        <w:rPr>
          <w:sz w:val="18"/>
          <w:szCs w:val="18"/>
          <w:lang w:val="en-US"/>
        </w:rPr>
        <w:t xml:space="preserve">. N Engl J Med. </w:t>
      </w:r>
      <w:r w:rsidRPr="00D3663A">
        <w:rPr>
          <w:b/>
          <w:bCs/>
          <w:sz w:val="18"/>
          <w:szCs w:val="18"/>
          <w:lang w:val="en-US"/>
        </w:rPr>
        <w:t>2017</w:t>
      </w:r>
      <w:r w:rsidRPr="00D3663A">
        <w:rPr>
          <w:sz w:val="18"/>
          <w:szCs w:val="18"/>
          <w:lang w:val="en-US"/>
        </w:rPr>
        <w:t xml:space="preserve"> May 11;376(19):1835-1848. doi: 10.1056/NEJMoa1614814. </w:t>
      </w:r>
      <w:r w:rsidRPr="00F97FD6">
        <w:rPr>
          <w:sz w:val="18"/>
          <w:szCs w:val="18"/>
          <w:lang w:val="en-US"/>
        </w:rPr>
        <w:t>PMID: 28489996; PMCID: PMC5555376.</w:t>
      </w:r>
    </w:p>
    <w:p w14:paraId="3DD36B5F" w14:textId="77777777" w:rsidR="00D3663A" w:rsidRPr="00F97FD6" w:rsidRDefault="00D3663A">
      <w:pPr>
        <w:pStyle w:val="Testonotadichiusura"/>
        <w:rPr>
          <w:lang w:val="en-US"/>
        </w:rPr>
      </w:pPr>
    </w:p>
  </w:endnote>
  <w:endnote w:id="181">
    <w:p w14:paraId="44001256" w14:textId="7145D740" w:rsidR="00E200CC" w:rsidRDefault="00E200CC" w:rsidP="0072132A">
      <w:pPr>
        <w:pStyle w:val="Testonotadichiusura"/>
        <w:jc w:val="both"/>
        <w:rPr>
          <w:sz w:val="18"/>
          <w:szCs w:val="18"/>
          <w:lang w:val="en-US"/>
        </w:rPr>
      </w:pPr>
      <w:r>
        <w:rPr>
          <w:rStyle w:val="Rimandonotadichiusura"/>
        </w:rPr>
        <w:endnoteRef/>
      </w:r>
      <w:r w:rsidRPr="00F97FD6">
        <w:rPr>
          <w:lang w:val="en-US"/>
        </w:rPr>
        <w:t xml:space="preserve"> </w:t>
      </w:r>
      <w:r w:rsidRPr="00F97FD6">
        <w:rPr>
          <w:sz w:val="18"/>
          <w:szCs w:val="18"/>
          <w:lang w:val="en-US"/>
        </w:rPr>
        <w:t xml:space="preserve">Alotaibi FT. </w:t>
      </w:r>
      <w:r w:rsidRPr="00E200CC">
        <w:rPr>
          <w:i/>
          <w:iCs/>
          <w:sz w:val="18"/>
          <w:szCs w:val="18"/>
          <w:lang w:val="en-US"/>
        </w:rPr>
        <w:t>Pathophysiology of Endometriosis: Insights from Immunohistochemical Analysis of Ectopic and Eutopic Tissues.</w:t>
      </w:r>
      <w:r w:rsidRPr="00E200CC">
        <w:rPr>
          <w:sz w:val="18"/>
          <w:szCs w:val="18"/>
          <w:lang w:val="en-US"/>
        </w:rPr>
        <w:t xml:space="preserve"> Int J Mol Sci. </w:t>
      </w:r>
      <w:r w:rsidRPr="00E200CC">
        <w:rPr>
          <w:b/>
          <w:bCs/>
          <w:sz w:val="18"/>
          <w:szCs w:val="18"/>
          <w:lang w:val="en-US"/>
        </w:rPr>
        <w:t>2025</w:t>
      </w:r>
      <w:r w:rsidRPr="00E200CC">
        <w:rPr>
          <w:sz w:val="18"/>
          <w:szCs w:val="18"/>
          <w:lang w:val="en-US"/>
        </w:rPr>
        <w:t xml:space="preserve"> Jun 22;26(13):5998. doi: 10.3390/ijms26135998. PMID: 40649777; PMCID: PMC12249977. </w:t>
      </w:r>
    </w:p>
    <w:p w14:paraId="30AD932C" w14:textId="77777777" w:rsidR="00E200CC" w:rsidRPr="00E200CC" w:rsidRDefault="00E200CC" w:rsidP="0072132A">
      <w:pPr>
        <w:pStyle w:val="Testonotadichiusura"/>
        <w:jc w:val="both"/>
        <w:rPr>
          <w:lang w:val="en-US"/>
        </w:rPr>
      </w:pPr>
    </w:p>
  </w:endnote>
  <w:endnote w:id="182">
    <w:p w14:paraId="7E5AB3B4" w14:textId="02A5F1ED" w:rsidR="00B76D16" w:rsidRPr="00D73971" w:rsidRDefault="00B76D16" w:rsidP="00B76D16">
      <w:pPr>
        <w:pStyle w:val="Testonotadichiusura"/>
        <w:jc w:val="both"/>
        <w:rPr>
          <w:lang w:val="en-US"/>
        </w:rPr>
      </w:pPr>
      <w:r>
        <w:rPr>
          <w:rStyle w:val="Rimandonotadichiusura"/>
        </w:rPr>
        <w:endnoteRef/>
      </w:r>
      <w:r w:rsidRPr="00B76D16">
        <w:rPr>
          <w:lang w:val="en-US"/>
        </w:rPr>
        <w:t xml:space="preserve"> </w:t>
      </w:r>
      <w:r w:rsidRPr="00B76D16">
        <w:rPr>
          <w:sz w:val="18"/>
          <w:szCs w:val="18"/>
          <w:lang w:val="en-US"/>
        </w:rPr>
        <w:t xml:space="preserve">Manavalan MA, Babtain M, Weessies M, Nap A, Verdurmen WPR, Taurin S, Sater M, Brock R. </w:t>
      </w:r>
      <w:r w:rsidRPr="00B76D16">
        <w:rPr>
          <w:i/>
          <w:iCs/>
          <w:sz w:val="18"/>
          <w:szCs w:val="18"/>
          <w:lang w:val="en-US"/>
        </w:rPr>
        <w:t>Etiologies of endometriosis and model systems: is there a risk of a tunnel vision?</w:t>
      </w:r>
      <w:r w:rsidRPr="00B76D16">
        <w:rPr>
          <w:sz w:val="18"/>
          <w:szCs w:val="18"/>
          <w:lang w:val="en-US"/>
        </w:rPr>
        <w:t xml:space="preserve"> </w:t>
      </w:r>
      <w:r w:rsidRPr="00D73971">
        <w:rPr>
          <w:sz w:val="18"/>
          <w:szCs w:val="18"/>
          <w:lang w:val="en-US"/>
        </w:rPr>
        <w:t xml:space="preserve">Front Med (Lausanne). </w:t>
      </w:r>
      <w:r w:rsidRPr="00D73971">
        <w:rPr>
          <w:b/>
          <w:bCs/>
          <w:sz w:val="18"/>
          <w:szCs w:val="18"/>
          <w:lang w:val="en-US"/>
        </w:rPr>
        <w:t>2025</w:t>
      </w:r>
      <w:r w:rsidRPr="00D73971">
        <w:rPr>
          <w:sz w:val="18"/>
          <w:szCs w:val="18"/>
          <w:lang w:val="en-US"/>
        </w:rPr>
        <w:t xml:space="preserve"> Oct 13;12:1675051. doi: 10.3389/fmed.2025.1675051. PMID: 41158459; PMCID: PMC12554752.</w:t>
      </w:r>
    </w:p>
    <w:p w14:paraId="771D5EC8" w14:textId="77777777" w:rsidR="00B76D16" w:rsidRPr="00D73971" w:rsidRDefault="00B76D16">
      <w:pPr>
        <w:pStyle w:val="Testonotadichiusura"/>
        <w:rPr>
          <w:lang w:val="en-US"/>
        </w:rPr>
      </w:pPr>
    </w:p>
  </w:endnote>
  <w:endnote w:id="183">
    <w:p w14:paraId="39D4E691" w14:textId="3EEF761C" w:rsidR="001430F6" w:rsidRPr="001430F6" w:rsidRDefault="001430F6" w:rsidP="0072132A">
      <w:pPr>
        <w:pStyle w:val="Testonotadichiusura"/>
        <w:jc w:val="both"/>
        <w:rPr>
          <w:lang w:val="en-US"/>
        </w:rPr>
      </w:pPr>
      <w:r>
        <w:rPr>
          <w:rStyle w:val="Rimandonotadichiusura"/>
        </w:rPr>
        <w:endnoteRef/>
      </w:r>
      <w:r w:rsidRPr="00D73971">
        <w:rPr>
          <w:lang w:val="en-US"/>
        </w:rPr>
        <w:t xml:space="preserve"> </w:t>
      </w:r>
      <w:r w:rsidRPr="00D73971">
        <w:rPr>
          <w:sz w:val="18"/>
          <w:szCs w:val="18"/>
          <w:lang w:val="en-US"/>
        </w:rPr>
        <w:t xml:space="preserve">Giudice LC. </w:t>
      </w:r>
      <w:r w:rsidRPr="00D73971">
        <w:rPr>
          <w:i/>
          <w:iCs/>
          <w:sz w:val="18"/>
          <w:szCs w:val="18"/>
          <w:lang w:val="en-US"/>
        </w:rPr>
        <w:t>Clinical practice. Endometriosis.</w:t>
      </w:r>
      <w:r w:rsidRPr="00D73971">
        <w:rPr>
          <w:sz w:val="18"/>
          <w:szCs w:val="18"/>
          <w:lang w:val="en-US"/>
        </w:rPr>
        <w:t xml:space="preserve"> </w:t>
      </w:r>
      <w:r w:rsidRPr="001430F6">
        <w:rPr>
          <w:sz w:val="18"/>
          <w:szCs w:val="18"/>
          <w:lang w:val="en-US"/>
        </w:rPr>
        <w:t xml:space="preserve">N Engl J Med. </w:t>
      </w:r>
      <w:r w:rsidRPr="001430F6">
        <w:rPr>
          <w:b/>
          <w:bCs/>
          <w:sz w:val="18"/>
          <w:szCs w:val="18"/>
          <w:lang w:val="en-US"/>
        </w:rPr>
        <w:t xml:space="preserve">2010 </w:t>
      </w:r>
      <w:r w:rsidRPr="001430F6">
        <w:rPr>
          <w:sz w:val="18"/>
          <w:szCs w:val="18"/>
          <w:lang w:val="en-US"/>
        </w:rPr>
        <w:t>Jun 24;362(25):2389-98. doi: 10.1056/NEJMcp1000274. PMID: 20573927; PMCID: PMC3108065.</w:t>
      </w:r>
    </w:p>
    <w:p w14:paraId="0813D7E9" w14:textId="77777777" w:rsidR="001430F6" w:rsidRPr="001430F6" w:rsidRDefault="001430F6" w:rsidP="0072132A">
      <w:pPr>
        <w:pStyle w:val="Testonotadichiusura"/>
        <w:jc w:val="both"/>
        <w:rPr>
          <w:lang w:val="en-US"/>
        </w:rPr>
      </w:pPr>
    </w:p>
  </w:endnote>
  <w:endnote w:id="184">
    <w:p w14:paraId="17667004" w14:textId="77777777" w:rsidR="00101D71" w:rsidRPr="001430F6" w:rsidRDefault="00101D71" w:rsidP="00101D71">
      <w:pPr>
        <w:pStyle w:val="Testonotadichiusura"/>
        <w:jc w:val="both"/>
        <w:rPr>
          <w:lang w:val="en-US"/>
        </w:rPr>
      </w:pPr>
      <w:r>
        <w:rPr>
          <w:rStyle w:val="Rimandonotadichiusura"/>
        </w:rPr>
        <w:endnoteRef/>
      </w:r>
      <w:r w:rsidRPr="001430F6">
        <w:rPr>
          <w:lang w:val="en-US"/>
        </w:rPr>
        <w:t xml:space="preserve"> </w:t>
      </w:r>
      <w:r w:rsidRPr="001430F6">
        <w:rPr>
          <w:sz w:val="18"/>
          <w:szCs w:val="18"/>
          <w:lang w:val="en-US"/>
        </w:rPr>
        <w:t xml:space="preserve">Kao LC, Germeyer A, Tulac S, et al. </w:t>
      </w:r>
      <w:r w:rsidRPr="001430F6">
        <w:rPr>
          <w:i/>
          <w:iCs/>
          <w:sz w:val="18"/>
          <w:szCs w:val="18"/>
          <w:lang w:val="en-US"/>
        </w:rPr>
        <w:t>Expression profiling of endometrium from women with endometriosis reveals candidate genes for disease-based implantation failure and infertility</w:t>
      </w:r>
      <w:r w:rsidRPr="001430F6">
        <w:rPr>
          <w:sz w:val="18"/>
          <w:szCs w:val="18"/>
          <w:lang w:val="en-US"/>
        </w:rPr>
        <w:t>.</w:t>
      </w:r>
      <w:r w:rsidRPr="001430F6">
        <w:rPr>
          <w:sz w:val="18"/>
          <w:szCs w:val="18"/>
          <w:lang w:val="en-US"/>
        </w:rPr>
        <w:br/>
      </w:r>
      <w:r w:rsidRPr="001430F6">
        <w:rPr>
          <w:i/>
          <w:iCs/>
          <w:sz w:val="18"/>
          <w:szCs w:val="18"/>
          <w:lang w:val="en-US"/>
        </w:rPr>
        <w:t>Hum Reprod.</w:t>
      </w:r>
      <w:r w:rsidRPr="001430F6">
        <w:rPr>
          <w:sz w:val="18"/>
          <w:szCs w:val="18"/>
          <w:lang w:val="en-US"/>
        </w:rPr>
        <w:t xml:space="preserve"> </w:t>
      </w:r>
      <w:r w:rsidRPr="001430F6">
        <w:rPr>
          <w:b/>
          <w:bCs/>
          <w:sz w:val="18"/>
          <w:szCs w:val="18"/>
          <w:lang w:val="en-US"/>
        </w:rPr>
        <w:t>2003</w:t>
      </w:r>
      <w:r w:rsidRPr="001430F6">
        <w:rPr>
          <w:sz w:val="18"/>
          <w:szCs w:val="18"/>
          <w:lang w:val="en-US"/>
        </w:rPr>
        <w:t>;18(3):588–598.doi:10.1093/humrep/deg108 PMID: 12615831.</w:t>
      </w:r>
    </w:p>
    <w:p w14:paraId="4FE412BB" w14:textId="77777777" w:rsidR="00101D71" w:rsidRPr="001430F6" w:rsidRDefault="00101D71" w:rsidP="00101D71">
      <w:pPr>
        <w:pStyle w:val="Testonotadichiusura"/>
        <w:jc w:val="both"/>
        <w:rPr>
          <w:lang w:val="en-US"/>
        </w:rPr>
      </w:pPr>
    </w:p>
  </w:endnote>
  <w:endnote w:id="185">
    <w:p w14:paraId="735C5CCC" w14:textId="1C589CB4" w:rsidR="001430F6" w:rsidRPr="001430F6" w:rsidRDefault="001430F6" w:rsidP="0072132A">
      <w:pPr>
        <w:pStyle w:val="Testonotadichiusura"/>
        <w:jc w:val="both"/>
        <w:rPr>
          <w:lang w:val="en-US"/>
        </w:rPr>
      </w:pPr>
      <w:r>
        <w:rPr>
          <w:rStyle w:val="Rimandonotadichiusura"/>
        </w:rPr>
        <w:endnoteRef/>
      </w:r>
      <w:r w:rsidRPr="001430F6">
        <w:rPr>
          <w:lang w:val="en-US"/>
        </w:rPr>
        <w:t xml:space="preserve"> </w:t>
      </w:r>
      <w:r w:rsidRPr="001430F6">
        <w:rPr>
          <w:sz w:val="18"/>
          <w:szCs w:val="18"/>
          <w:lang w:val="en-US"/>
        </w:rPr>
        <w:t xml:space="preserve">Berkley KJ, Rapkin AJ, Papka RE. </w:t>
      </w:r>
      <w:r w:rsidRPr="001430F6">
        <w:rPr>
          <w:i/>
          <w:iCs/>
          <w:sz w:val="18"/>
          <w:szCs w:val="18"/>
          <w:lang w:val="en-US"/>
        </w:rPr>
        <w:t xml:space="preserve">The pains of endometriosis. </w:t>
      </w:r>
      <w:r w:rsidRPr="001430F6">
        <w:rPr>
          <w:sz w:val="18"/>
          <w:szCs w:val="18"/>
          <w:lang w:val="en-US"/>
        </w:rPr>
        <w:t xml:space="preserve">Science. </w:t>
      </w:r>
      <w:r w:rsidRPr="001430F6">
        <w:rPr>
          <w:b/>
          <w:bCs/>
          <w:sz w:val="18"/>
          <w:szCs w:val="18"/>
          <w:lang w:val="en-US"/>
        </w:rPr>
        <w:t>2005</w:t>
      </w:r>
      <w:r w:rsidRPr="001430F6">
        <w:rPr>
          <w:sz w:val="18"/>
          <w:szCs w:val="18"/>
          <w:lang w:val="en-US"/>
        </w:rPr>
        <w:t xml:space="preserve"> Jun 10;308(5728):1587-9. doi: 10.1126/science.1111445. PMID: 15947176.</w:t>
      </w:r>
    </w:p>
    <w:p w14:paraId="26E352EE" w14:textId="77777777" w:rsidR="001430F6" w:rsidRPr="001430F6" w:rsidRDefault="001430F6" w:rsidP="0072132A">
      <w:pPr>
        <w:pStyle w:val="Testonotadichiusura"/>
        <w:jc w:val="both"/>
        <w:rPr>
          <w:lang w:val="en-US"/>
        </w:rPr>
      </w:pPr>
    </w:p>
  </w:endnote>
  <w:endnote w:id="186">
    <w:p w14:paraId="51A786D9" w14:textId="20BF72B1" w:rsidR="001430F6" w:rsidRPr="001430F6" w:rsidRDefault="001430F6" w:rsidP="0072132A">
      <w:pPr>
        <w:pStyle w:val="Testonotadichiusura"/>
        <w:jc w:val="both"/>
        <w:rPr>
          <w:sz w:val="18"/>
          <w:szCs w:val="18"/>
          <w:lang w:val="en-US"/>
        </w:rPr>
      </w:pPr>
      <w:r>
        <w:rPr>
          <w:rStyle w:val="Rimandonotadichiusura"/>
        </w:rPr>
        <w:endnoteRef/>
      </w:r>
      <w:r w:rsidRPr="001430F6">
        <w:rPr>
          <w:lang w:val="en-US"/>
        </w:rPr>
        <w:t xml:space="preserve"> </w:t>
      </w:r>
      <w:r w:rsidRPr="001430F6">
        <w:rPr>
          <w:sz w:val="18"/>
          <w:szCs w:val="18"/>
          <w:lang w:val="en-US"/>
        </w:rPr>
        <w:t xml:space="preserve">Vergetaki A, Jeschke U, Vrekoussis T, Taliouri E, Sabatini L, Papakonstanti EA, Makrigiannakis </w:t>
      </w:r>
      <w:r w:rsidRPr="001430F6">
        <w:rPr>
          <w:i/>
          <w:iCs/>
          <w:sz w:val="18"/>
          <w:szCs w:val="18"/>
          <w:lang w:val="en-US"/>
        </w:rPr>
        <w:t>A. Differential expression of CRH, UCN, CRHR1 and CRHR2 in eutopic and ectopic endometrium of women with endometriosis.</w:t>
      </w:r>
      <w:r w:rsidRPr="001430F6">
        <w:rPr>
          <w:sz w:val="18"/>
          <w:szCs w:val="18"/>
          <w:lang w:val="en-US"/>
        </w:rPr>
        <w:t xml:space="preserve"> PLoS One. </w:t>
      </w:r>
      <w:r w:rsidRPr="001430F6">
        <w:rPr>
          <w:b/>
          <w:bCs/>
          <w:sz w:val="18"/>
          <w:szCs w:val="18"/>
          <w:lang w:val="en-US"/>
        </w:rPr>
        <w:t xml:space="preserve">2013 </w:t>
      </w:r>
      <w:r w:rsidRPr="001430F6">
        <w:rPr>
          <w:sz w:val="18"/>
          <w:szCs w:val="18"/>
          <w:lang w:val="en-US"/>
        </w:rPr>
        <w:t>Apr 24;8(4):e62313. doi: 10.1371/journal.pone.0062313. PMID: 23638035; PMCID: PMC3634725.</w:t>
      </w:r>
    </w:p>
    <w:p w14:paraId="5E4D4A6C" w14:textId="77777777" w:rsidR="001430F6" w:rsidRPr="001430F6" w:rsidRDefault="001430F6" w:rsidP="0072132A">
      <w:pPr>
        <w:pStyle w:val="Testonotadichiusura"/>
        <w:jc w:val="both"/>
        <w:rPr>
          <w:lang w:val="en-US"/>
        </w:rPr>
      </w:pPr>
    </w:p>
  </w:endnote>
  <w:endnote w:id="187">
    <w:p w14:paraId="2D62B7C3" w14:textId="7350D99A" w:rsidR="001430F6" w:rsidRPr="00E80DC2" w:rsidRDefault="001430F6" w:rsidP="0072132A">
      <w:pPr>
        <w:pStyle w:val="Testonotadichiusura"/>
        <w:jc w:val="both"/>
        <w:rPr>
          <w:sz w:val="18"/>
          <w:szCs w:val="18"/>
          <w:lang w:val="en-US"/>
        </w:rPr>
      </w:pPr>
      <w:r>
        <w:rPr>
          <w:rStyle w:val="Rimandonotadichiusura"/>
        </w:rPr>
        <w:endnoteRef/>
      </w:r>
      <w:r w:rsidRPr="001430F6">
        <w:t xml:space="preserve"> </w:t>
      </w:r>
      <w:r w:rsidRPr="001430F6">
        <w:rPr>
          <w:sz w:val="18"/>
          <w:szCs w:val="18"/>
        </w:rPr>
        <w:t xml:space="preserve">Viganò P, Parazzini F, Somigliana E, Vercellini P. </w:t>
      </w:r>
      <w:r w:rsidRPr="001430F6">
        <w:rPr>
          <w:i/>
          <w:iCs/>
          <w:sz w:val="18"/>
          <w:szCs w:val="18"/>
        </w:rPr>
        <w:t>Endometriosis: epidemiology and aetiological factors</w:t>
      </w:r>
      <w:r w:rsidRPr="001430F6">
        <w:rPr>
          <w:sz w:val="18"/>
          <w:szCs w:val="18"/>
        </w:rPr>
        <w:t xml:space="preserve">. </w:t>
      </w:r>
      <w:r w:rsidRPr="001430F6">
        <w:rPr>
          <w:sz w:val="18"/>
          <w:szCs w:val="18"/>
          <w:lang w:val="en-US"/>
        </w:rPr>
        <w:t xml:space="preserve">Best Pract Res Clin Obstet Gynaecol. </w:t>
      </w:r>
      <w:r w:rsidRPr="001430F6">
        <w:rPr>
          <w:b/>
          <w:bCs/>
          <w:sz w:val="18"/>
          <w:szCs w:val="18"/>
          <w:lang w:val="en-US"/>
        </w:rPr>
        <w:t xml:space="preserve">2004 </w:t>
      </w:r>
      <w:r w:rsidRPr="001430F6">
        <w:rPr>
          <w:sz w:val="18"/>
          <w:szCs w:val="18"/>
          <w:lang w:val="en-US"/>
        </w:rPr>
        <w:t xml:space="preserve">Apr;18(2):177-200. doi: 10.1016/j.bpobgyn.2004.01.007. </w:t>
      </w:r>
      <w:r w:rsidRPr="00E80DC2">
        <w:rPr>
          <w:sz w:val="18"/>
          <w:szCs w:val="18"/>
          <w:lang w:val="en-US"/>
        </w:rPr>
        <w:t>PMID: 15157637.</w:t>
      </w:r>
    </w:p>
    <w:p w14:paraId="58E02BED" w14:textId="77777777" w:rsidR="001430F6" w:rsidRPr="001430F6" w:rsidRDefault="001430F6" w:rsidP="0072132A">
      <w:pPr>
        <w:pStyle w:val="Testonotadichiusura"/>
        <w:jc w:val="both"/>
        <w:rPr>
          <w:lang w:val="en-US"/>
        </w:rPr>
      </w:pPr>
    </w:p>
  </w:endnote>
  <w:endnote w:id="188">
    <w:p w14:paraId="2A7F652B" w14:textId="1AEA6FD8" w:rsidR="00E80DC2" w:rsidRPr="00E80DC2" w:rsidRDefault="00E80DC2" w:rsidP="0072132A">
      <w:pPr>
        <w:pStyle w:val="Testonotadichiusura"/>
        <w:jc w:val="both"/>
        <w:rPr>
          <w:lang w:val="en-US"/>
        </w:rPr>
      </w:pPr>
      <w:r>
        <w:rPr>
          <w:rStyle w:val="Rimandonotadichiusura"/>
        </w:rPr>
        <w:endnoteRef/>
      </w:r>
      <w:r w:rsidRPr="00E80DC2">
        <w:rPr>
          <w:lang w:val="en-US"/>
        </w:rPr>
        <w:t xml:space="preserve"> </w:t>
      </w:r>
      <w:r w:rsidRPr="00E80DC2">
        <w:rPr>
          <w:sz w:val="18"/>
          <w:szCs w:val="18"/>
          <w:lang w:val="en-US"/>
        </w:rPr>
        <w:t xml:space="preserve">Santanam N, Murphy AA, Parthasarathy S. </w:t>
      </w:r>
      <w:r w:rsidRPr="00E80DC2">
        <w:rPr>
          <w:i/>
          <w:iCs/>
          <w:sz w:val="18"/>
          <w:szCs w:val="18"/>
          <w:lang w:val="en-US"/>
        </w:rPr>
        <w:t>Macrophages, oxidation, and endometriosis.</w:t>
      </w:r>
      <w:r w:rsidRPr="00E80DC2">
        <w:rPr>
          <w:sz w:val="18"/>
          <w:szCs w:val="18"/>
          <w:lang w:val="en-US"/>
        </w:rPr>
        <w:t xml:space="preserve"> Ann N Y Acad Sci. </w:t>
      </w:r>
      <w:r w:rsidRPr="00E80DC2">
        <w:rPr>
          <w:b/>
          <w:bCs/>
          <w:sz w:val="18"/>
          <w:szCs w:val="18"/>
          <w:lang w:val="en-US"/>
        </w:rPr>
        <w:t xml:space="preserve">2002 </w:t>
      </w:r>
      <w:r w:rsidRPr="00E80DC2">
        <w:rPr>
          <w:sz w:val="18"/>
          <w:szCs w:val="18"/>
          <w:lang w:val="en-US"/>
        </w:rPr>
        <w:t>Mar;955:183-98; discussion 19-200, 396-406. doi: 10.1111/j.1749-6632.2002.tb02779.x. PMID: 11949947.</w:t>
      </w:r>
    </w:p>
    <w:p w14:paraId="0922A187" w14:textId="77777777" w:rsidR="00E80DC2" w:rsidRPr="00E80DC2" w:rsidRDefault="00E80DC2" w:rsidP="0072132A">
      <w:pPr>
        <w:pStyle w:val="Testonotadichiusura"/>
        <w:jc w:val="both"/>
        <w:rPr>
          <w:lang w:val="en-US"/>
        </w:rPr>
      </w:pPr>
    </w:p>
  </w:endnote>
  <w:endnote w:id="189">
    <w:p w14:paraId="5CA16AA7" w14:textId="720A935D" w:rsidR="00E80DC2" w:rsidRPr="00E80DC2" w:rsidRDefault="00E80DC2" w:rsidP="0072132A">
      <w:pPr>
        <w:pStyle w:val="Testonotadichiusura"/>
        <w:jc w:val="both"/>
        <w:rPr>
          <w:lang w:val="en-US"/>
        </w:rPr>
      </w:pPr>
      <w:r>
        <w:rPr>
          <w:rStyle w:val="Rimandonotadichiusura"/>
        </w:rPr>
        <w:endnoteRef/>
      </w:r>
      <w:r w:rsidRPr="00E80DC2">
        <w:rPr>
          <w:lang w:val="en-US"/>
        </w:rPr>
        <w:t xml:space="preserve"> </w:t>
      </w:r>
      <w:r w:rsidRPr="00E80DC2">
        <w:rPr>
          <w:sz w:val="18"/>
          <w:szCs w:val="18"/>
          <w:lang w:val="en-US"/>
        </w:rPr>
        <w:t xml:space="preserve">Yilmaz BD, Bulun SE. </w:t>
      </w:r>
      <w:r w:rsidRPr="00E80DC2">
        <w:rPr>
          <w:i/>
          <w:iCs/>
          <w:sz w:val="18"/>
          <w:szCs w:val="18"/>
          <w:lang w:val="en-US"/>
        </w:rPr>
        <w:t>Endometriosis and nuclear receptors</w:t>
      </w:r>
      <w:r w:rsidRPr="00E80DC2">
        <w:rPr>
          <w:sz w:val="18"/>
          <w:szCs w:val="18"/>
          <w:lang w:val="en-US"/>
        </w:rPr>
        <w:t xml:space="preserve">. Hum Reprod Update. </w:t>
      </w:r>
      <w:r w:rsidRPr="00E80DC2">
        <w:rPr>
          <w:b/>
          <w:bCs/>
          <w:sz w:val="18"/>
          <w:szCs w:val="18"/>
          <w:lang w:val="en-US"/>
        </w:rPr>
        <w:t>2019</w:t>
      </w:r>
      <w:r w:rsidRPr="00E80DC2">
        <w:rPr>
          <w:sz w:val="18"/>
          <w:szCs w:val="18"/>
          <w:lang w:val="en-US"/>
        </w:rPr>
        <w:t xml:space="preserve"> Jul 1;25(4):473-485. doi: 10.1093/humupd/dmz005. PMID: 30809650; PMCID: PMC6601390.</w:t>
      </w:r>
    </w:p>
    <w:p w14:paraId="7A274F9F" w14:textId="77777777" w:rsidR="00E80DC2" w:rsidRPr="00E80DC2" w:rsidRDefault="00E80DC2" w:rsidP="0072132A">
      <w:pPr>
        <w:pStyle w:val="Testonotadichiusura"/>
        <w:jc w:val="both"/>
        <w:rPr>
          <w:lang w:val="en-US"/>
        </w:rPr>
      </w:pPr>
    </w:p>
  </w:endnote>
  <w:endnote w:id="190">
    <w:p w14:paraId="01D22EA9" w14:textId="49BD42AB" w:rsidR="00E80DC2" w:rsidRPr="00E80DC2" w:rsidRDefault="00E80DC2" w:rsidP="0072132A">
      <w:pPr>
        <w:pStyle w:val="Testonotadichiusura"/>
        <w:jc w:val="both"/>
        <w:rPr>
          <w:lang w:val="en-US"/>
        </w:rPr>
      </w:pPr>
      <w:r>
        <w:rPr>
          <w:rStyle w:val="Rimandonotadichiusura"/>
        </w:rPr>
        <w:endnoteRef/>
      </w:r>
      <w:r w:rsidRPr="00E80DC2">
        <w:rPr>
          <w:lang w:val="en-US"/>
        </w:rPr>
        <w:t xml:space="preserve"> </w:t>
      </w:r>
      <w:r w:rsidRPr="00E80DC2">
        <w:rPr>
          <w:sz w:val="18"/>
          <w:szCs w:val="18"/>
          <w:lang w:val="en-US"/>
        </w:rPr>
        <w:t xml:space="preserve">Peloggia A, Andres MP, Abrão MS. </w:t>
      </w:r>
      <w:r w:rsidRPr="00E80DC2">
        <w:rPr>
          <w:i/>
          <w:iCs/>
          <w:sz w:val="18"/>
          <w:szCs w:val="18"/>
          <w:lang w:val="en-US"/>
        </w:rPr>
        <w:t xml:space="preserve">Expression of ezrin protein and phosphorylated ezrin in pelvic endometriotic lesions. </w:t>
      </w:r>
      <w:r w:rsidRPr="00E80DC2">
        <w:rPr>
          <w:sz w:val="18"/>
          <w:szCs w:val="18"/>
          <w:lang w:val="en-US"/>
        </w:rPr>
        <w:t xml:space="preserve">Clinics (Sao Paulo). </w:t>
      </w:r>
      <w:r w:rsidRPr="00E80DC2">
        <w:rPr>
          <w:b/>
          <w:bCs/>
          <w:sz w:val="18"/>
          <w:szCs w:val="18"/>
          <w:lang w:val="en-US"/>
        </w:rPr>
        <w:t>2022</w:t>
      </w:r>
      <w:r w:rsidRPr="00E80DC2">
        <w:rPr>
          <w:sz w:val="18"/>
          <w:szCs w:val="18"/>
          <w:lang w:val="en-US"/>
        </w:rPr>
        <w:t xml:space="preserve"> Jul 3;77:100074. doi: 10.1016/j.clinsp.2022.100074. PMID: 35793608; PMCID: PMC9260236.</w:t>
      </w:r>
    </w:p>
    <w:p w14:paraId="1777B990" w14:textId="77777777" w:rsidR="00E80DC2" w:rsidRPr="00E80DC2" w:rsidRDefault="00E80DC2" w:rsidP="0072132A">
      <w:pPr>
        <w:pStyle w:val="Testonotadichiusura"/>
        <w:jc w:val="both"/>
        <w:rPr>
          <w:lang w:val="en-US"/>
        </w:rPr>
      </w:pPr>
    </w:p>
  </w:endnote>
  <w:endnote w:id="191">
    <w:p w14:paraId="4F0A89EC" w14:textId="1E5DF3C3" w:rsidR="00E80DC2" w:rsidRPr="00E80DC2" w:rsidRDefault="00E80DC2" w:rsidP="0072132A">
      <w:pPr>
        <w:pStyle w:val="Testonotadichiusura"/>
        <w:jc w:val="both"/>
        <w:rPr>
          <w:lang w:val="en-US"/>
        </w:rPr>
      </w:pPr>
      <w:r>
        <w:rPr>
          <w:rStyle w:val="Rimandonotadichiusura"/>
        </w:rPr>
        <w:endnoteRef/>
      </w:r>
      <w:r w:rsidRPr="00E80DC2">
        <w:rPr>
          <w:lang w:val="en-US"/>
        </w:rPr>
        <w:t xml:space="preserve"> </w:t>
      </w:r>
      <w:r w:rsidRPr="00E80DC2">
        <w:rPr>
          <w:sz w:val="18"/>
          <w:szCs w:val="18"/>
          <w:lang w:val="en-US"/>
        </w:rPr>
        <w:t xml:space="preserve">Kim BG, Yoo JY, Kim TH, Shin JH, Langenheim JF, Ferguson SD, Fazleabas AT, Young SL, Lessey BA, Jeong JW. </w:t>
      </w:r>
      <w:r w:rsidRPr="00E80DC2">
        <w:rPr>
          <w:i/>
          <w:iCs/>
          <w:sz w:val="18"/>
          <w:szCs w:val="18"/>
          <w:lang w:val="en-US"/>
        </w:rPr>
        <w:t>Aberrant activation of signal transducer and activator of transcription-3 (STAT3) signaling in endometriosis.</w:t>
      </w:r>
      <w:r w:rsidRPr="00E80DC2">
        <w:rPr>
          <w:sz w:val="18"/>
          <w:szCs w:val="18"/>
          <w:lang w:val="en-US"/>
        </w:rPr>
        <w:t xml:space="preserve"> Hum Reprod. </w:t>
      </w:r>
      <w:r w:rsidRPr="00E80DC2">
        <w:rPr>
          <w:b/>
          <w:bCs/>
          <w:sz w:val="18"/>
          <w:szCs w:val="18"/>
          <w:lang w:val="en-US"/>
        </w:rPr>
        <w:t>2015</w:t>
      </w:r>
      <w:r w:rsidRPr="00E80DC2">
        <w:rPr>
          <w:sz w:val="18"/>
          <w:szCs w:val="18"/>
          <w:lang w:val="en-US"/>
        </w:rPr>
        <w:t xml:space="preserve"> May;30(5):1069-78. doi: 10.1093/humrep/dev050. Epub 2015 Mar 6. PMID: 25750101; PMCID: PMC4400199.</w:t>
      </w:r>
    </w:p>
    <w:p w14:paraId="6E6A314C" w14:textId="77777777" w:rsidR="00E80DC2" w:rsidRPr="00E80DC2" w:rsidRDefault="00E80DC2" w:rsidP="0072132A">
      <w:pPr>
        <w:pStyle w:val="Testonotadichiusura"/>
        <w:jc w:val="both"/>
        <w:rPr>
          <w:lang w:val="en-US"/>
        </w:rPr>
      </w:pPr>
    </w:p>
  </w:endnote>
  <w:endnote w:id="192">
    <w:p w14:paraId="3850505B" w14:textId="49BE0B57" w:rsidR="00E80DC2" w:rsidRPr="00E80DC2" w:rsidRDefault="00E80DC2" w:rsidP="0072132A">
      <w:pPr>
        <w:pStyle w:val="Testonotadichiusura"/>
        <w:jc w:val="both"/>
        <w:rPr>
          <w:sz w:val="18"/>
          <w:szCs w:val="18"/>
          <w:lang w:val="en-US"/>
        </w:rPr>
      </w:pPr>
      <w:r>
        <w:rPr>
          <w:rStyle w:val="Rimandonotadichiusura"/>
        </w:rPr>
        <w:endnoteRef/>
      </w:r>
      <w:r w:rsidRPr="00E80DC2">
        <w:rPr>
          <w:lang w:val="en-US"/>
        </w:rPr>
        <w:t xml:space="preserve"> </w:t>
      </w:r>
      <w:r w:rsidRPr="00E80DC2">
        <w:rPr>
          <w:sz w:val="18"/>
          <w:szCs w:val="18"/>
          <w:lang w:val="en-US"/>
        </w:rPr>
        <w:t xml:space="preserve">Tokushige N, Markham R, Russell P, Fraser IS. </w:t>
      </w:r>
      <w:r w:rsidRPr="00E80DC2">
        <w:rPr>
          <w:i/>
          <w:iCs/>
          <w:sz w:val="18"/>
          <w:szCs w:val="18"/>
          <w:lang w:val="en-US"/>
        </w:rPr>
        <w:t xml:space="preserve">High density of small nerve fibres in the functional layer of the endometrium in women with endometriosis. </w:t>
      </w:r>
      <w:r w:rsidRPr="00E80DC2">
        <w:rPr>
          <w:sz w:val="18"/>
          <w:szCs w:val="18"/>
          <w:lang w:val="en-US"/>
        </w:rPr>
        <w:t xml:space="preserve">Hum Reprod. </w:t>
      </w:r>
      <w:r w:rsidRPr="00E80DC2">
        <w:rPr>
          <w:b/>
          <w:bCs/>
          <w:sz w:val="18"/>
          <w:szCs w:val="18"/>
          <w:lang w:val="en-US"/>
        </w:rPr>
        <w:t>2006</w:t>
      </w:r>
      <w:r w:rsidRPr="00E80DC2">
        <w:rPr>
          <w:sz w:val="18"/>
          <w:szCs w:val="18"/>
          <w:lang w:val="en-US"/>
        </w:rPr>
        <w:t xml:space="preserve"> Mar;21(3):782-7. doi: 10.1093/humrep/dei368. Epub 2005 Oct 27. PMID: 16253968.</w:t>
      </w:r>
    </w:p>
    <w:p w14:paraId="2C2285A4" w14:textId="77777777" w:rsidR="00E80DC2" w:rsidRPr="00E80DC2" w:rsidRDefault="00E80DC2" w:rsidP="0072132A">
      <w:pPr>
        <w:pStyle w:val="Testonotadichiusura"/>
        <w:jc w:val="both"/>
        <w:rPr>
          <w:lang w:val="en-US"/>
        </w:rPr>
      </w:pPr>
    </w:p>
  </w:endnote>
  <w:endnote w:id="193">
    <w:p w14:paraId="5A5714DA" w14:textId="6B3DF2F6" w:rsidR="00E80DC2" w:rsidRPr="00E80DC2" w:rsidRDefault="00E80DC2" w:rsidP="0072132A">
      <w:pPr>
        <w:pStyle w:val="Testonotadichiusura"/>
        <w:jc w:val="both"/>
        <w:rPr>
          <w:lang w:val="en-US"/>
        </w:rPr>
      </w:pPr>
      <w:r>
        <w:rPr>
          <w:rStyle w:val="Rimandonotadichiusura"/>
        </w:rPr>
        <w:endnoteRef/>
      </w:r>
      <w:r w:rsidRPr="00E80DC2">
        <w:rPr>
          <w:lang w:val="en-US"/>
        </w:rPr>
        <w:t xml:space="preserve"> </w:t>
      </w:r>
      <w:r w:rsidRPr="00E80DC2">
        <w:rPr>
          <w:sz w:val="18"/>
          <w:szCs w:val="18"/>
          <w:lang w:val="en-US"/>
        </w:rPr>
        <w:t xml:space="preserve">Anaf V, Chapron C, El Nakadi I, De Moor V, Simonart T, Noël JC. </w:t>
      </w:r>
      <w:r w:rsidRPr="00E80DC2">
        <w:rPr>
          <w:i/>
          <w:iCs/>
          <w:sz w:val="18"/>
          <w:szCs w:val="18"/>
          <w:lang w:val="en-US"/>
        </w:rPr>
        <w:t>Pain, mast cells, and nerves in peritoneal, ovarian, and deep infiltrating endometriosis.</w:t>
      </w:r>
      <w:r w:rsidRPr="00E80DC2">
        <w:rPr>
          <w:sz w:val="18"/>
          <w:szCs w:val="18"/>
          <w:lang w:val="en-US"/>
        </w:rPr>
        <w:t xml:space="preserve"> Fertil Steril. </w:t>
      </w:r>
      <w:r w:rsidRPr="00E80DC2">
        <w:rPr>
          <w:b/>
          <w:bCs/>
          <w:sz w:val="18"/>
          <w:szCs w:val="18"/>
          <w:lang w:val="en-US"/>
        </w:rPr>
        <w:t>2006</w:t>
      </w:r>
      <w:r w:rsidRPr="00E80DC2">
        <w:rPr>
          <w:sz w:val="18"/>
          <w:szCs w:val="18"/>
          <w:lang w:val="en-US"/>
        </w:rPr>
        <w:t xml:space="preserve"> Nov;86(5):1336-43. doi: 10.1016/j.fertnstert.2006.03.057. Epub 2006 Sep 27. PMID: 17007852.</w:t>
      </w:r>
    </w:p>
    <w:p w14:paraId="1B219081" w14:textId="77777777" w:rsidR="00E80DC2" w:rsidRPr="00E80DC2" w:rsidRDefault="00E80DC2" w:rsidP="0072132A">
      <w:pPr>
        <w:pStyle w:val="Testonotadichiusura"/>
        <w:jc w:val="both"/>
        <w:rPr>
          <w:lang w:val="en-US"/>
        </w:rPr>
      </w:pPr>
    </w:p>
  </w:endnote>
  <w:endnote w:id="194">
    <w:p w14:paraId="4CAEDE22" w14:textId="3767EC6D" w:rsidR="00E80DC2" w:rsidRPr="005C704C" w:rsidRDefault="00E80DC2" w:rsidP="0072132A">
      <w:pPr>
        <w:pStyle w:val="Testonotadichiusura"/>
        <w:jc w:val="both"/>
        <w:rPr>
          <w:sz w:val="18"/>
          <w:szCs w:val="18"/>
          <w:lang w:val="en-US"/>
        </w:rPr>
      </w:pPr>
      <w:r>
        <w:rPr>
          <w:rStyle w:val="Rimandonotadichiusura"/>
        </w:rPr>
        <w:endnoteRef/>
      </w:r>
      <w:r w:rsidRPr="00E80DC2">
        <w:rPr>
          <w:lang w:val="en-US"/>
        </w:rPr>
        <w:t xml:space="preserve"> </w:t>
      </w:r>
      <w:r w:rsidRPr="00E80DC2">
        <w:rPr>
          <w:sz w:val="18"/>
          <w:szCs w:val="18"/>
          <w:lang w:val="en-US"/>
        </w:rPr>
        <w:t xml:space="preserve">Greaves E, Grieve K, Horne AW, Saunders PT. </w:t>
      </w:r>
      <w:r w:rsidRPr="00E80DC2">
        <w:rPr>
          <w:i/>
          <w:iCs/>
          <w:sz w:val="18"/>
          <w:szCs w:val="18"/>
          <w:lang w:val="en-US"/>
        </w:rPr>
        <w:t>Elevated peritoneal expression and estrogen regulation of nociceptive ion channels in endometriosis.</w:t>
      </w:r>
      <w:r w:rsidRPr="00E80DC2">
        <w:rPr>
          <w:sz w:val="18"/>
          <w:szCs w:val="18"/>
          <w:lang w:val="en-US"/>
        </w:rPr>
        <w:t xml:space="preserve"> </w:t>
      </w:r>
      <w:r w:rsidRPr="005C704C">
        <w:rPr>
          <w:sz w:val="18"/>
          <w:szCs w:val="18"/>
          <w:lang w:val="en-US"/>
        </w:rPr>
        <w:t xml:space="preserve">J Clin Endocrinol Metab. </w:t>
      </w:r>
      <w:r w:rsidRPr="005C704C">
        <w:rPr>
          <w:b/>
          <w:bCs/>
          <w:sz w:val="18"/>
          <w:szCs w:val="18"/>
          <w:lang w:val="en-US"/>
        </w:rPr>
        <w:t xml:space="preserve">2014 </w:t>
      </w:r>
      <w:r w:rsidRPr="005C704C">
        <w:rPr>
          <w:sz w:val="18"/>
          <w:szCs w:val="18"/>
          <w:lang w:val="en-US"/>
        </w:rPr>
        <w:t>Sep;99(9):E1738-43. doi: 10.1210/jc.2014-2282. Epub 2014 Jul 16. PMID: 25029427; PMCID: PMC4207935.</w:t>
      </w:r>
    </w:p>
    <w:p w14:paraId="413C148D" w14:textId="77777777" w:rsidR="00E80DC2" w:rsidRPr="00E80DC2" w:rsidRDefault="00E80DC2" w:rsidP="0072132A">
      <w:pPr>
        <w:pStyle w:val="Testonotadichiusura"/>
        <w:jc w:val="both"/>
        <w:rPr>
          <w:lang w:val="en-US"/>
        </w:rPr>
      </w:pPr>
    </w:p>
  </w:endnote>
  <w:endnote w:id="195">
    <w:p w14:paraId="2EC734EC" w14:textId="76A58675" w:rsidR="005C704C" w:rsidRPr="005C704C" w:rsidRDefault="005C704C" w:rsidP="0072132A">
      <w:pPr>
        <w:pStyle w:val="Testonotadichiusura"/>
        <w:jc w:val="both"/>
        <w:rPr>
          <w:sz w:val="18"/>
          <w:szCs w:val="18"/>
          <w:lang w:val="en-US"/>
        </w:rPr>
      </w:pPr>
      <w:r>
        <w:rPr>
          <w:rStyle w:val="Rimandonotadichiusura"/>
        </w:rPr>
        <w:endnoteRef/>
      </w:r>
      <w:r w:rsidRPr="005C704C">
        <w:rPr>
          <w:lang w:val="en-US"/>
        </w:rPr>
        <w:t xml:space="preserve"> </w:t>
      </w:r>
      <w:r w:rsidRPr="005C704C">
        <w:rPr>
          <w:sz w:val="18"/>
          <w:szCs w:val="18"/>
          <w:lang w:val="en-US"/>
        </w:rPr>
        <w:t xml:space="preserve">Sanfilippo JS. </w:t>
      </w:r>
      <w:r w:rsidRPr="005C704C">
        <w:rPr>
          <w:i/>
          <w:iCs/>
          <w:sz w:val="18"/>
          <w:szCs w:val="18"/>
          <w:lang w:val="en-US"/>
        </w:rPr>
        <w:t>Infertility classification: a work in progress sounds like SOAP revisited</w:t>
      </w:r>
      <w:r w:rsidRPr="005C704C">
        <w:rPr>
          <w:sz w:val="18"/>
          <w:szCs w:val="18"/>
          <w:lang w:val="en-US"/>
        </w:rPr>
        <w:t xml:space="preserve">. Fertil Steril. </w:t>
      </w:r>
      <w:r w:rsidRPr="005C704C">
        <w:rPr>
          <w:b/>
          <w:bCs/>
          <w:sz w:val="18"/>
          <w:szCs w:val="18"/>
          <w:lang w:val="en-US"/>
        </w:rPr>
        <w:t>2005</w:t>
      </w:r>
      <w:r w:rsidRPr="005C704C">
        <w:rPr>
          <w:sz w:val="18"/>
          <w:szCs w:val="18"/>
          <w:lang w:val="en-US"/>
        </w:rPr>
        <w:t xml:space="preserve"> Apr;83(4):842-3. doi: 10.1016/j.fertnstert.2004.12.021. PMID: 15820786.</w:t>
      </w:r>
    </w:p>
    <w:p w14:paraId="0C195F75" w14:textId="77777777" w:rsidR="005C704C" w:rsidRPr="005C704C" w:rsidRDefault="005C704C" w:rsidP="0072132A">
      <w:pPr>
        <w:pStyle w:val="Testonotadichiusura"/>
        <w:jc w:val="both"/>
        <w:rPr>
          <w:sz w:val="18"/>
          <w:szCs w:val="18"/>
          <w:lang w:val="en-US"/>
        </w:rPr>
      </w:pPr>
    </w:p>
  </w:endnote>
  <w:endnote w:id="196">
    <w:p w14:paraId="5E3DBD0D" w14:textId="75296EE0" w:rsidR="005C704C" w:rsidRDefault="005C704C" w:rsidP="0072132A">
      <w:pPr>
        <w:pStyle w:val="Testonotadichiusura"/>
        <w:jc w:val="both"/>
        <w:rPr>
          <w:sz w:val="18"/>
          <w:szCs w:val="18"/>
          <w:lang w:val="en-US"/>
        </w:rPr>
      </w:pPr>
      <w:r w:rsidRPr="005C704C">
        <w:rPr>
          <w:sz w:val="18"/>
          <w:szCs w:val="18"/>
          <w:lang w:val="en-US"/>
        </w:rPr>
        <w:endnoteRef/>
      </w:r>
      <w:r w:rsidRPr="005C704C">
        <w:rPr>
          <w:sz w:val="18"/>
          <w:szCs w:val="18"/>
          <w:lang w:val="en-US"/>
        </w:rPr>
        <w:t xml:space="preserve"> Zondervan KT, Becker CM, Missmer SA. </w:t>
      </w:r>
      <w:r w:rsidRPr="005C704C">
        <w:rPr>
          <w:i/>
          <w:iCs/>
          <w:sz w:val="18"/>
          <w:szCs w:val="18"/>
          <w:lang w:val="en-US"/>
        </w:rPr>
        <w:t xml:space="preserve">Endometriosis. </w:t>
      </w:r>
      <w:r w:rsidRPr="005C704C">
        <w:rPr>
          <w:sz w:val="18"/>
          <w:szCs w:val="18"/>
          <w:lang w:val="en-US"/>
        </w:rPr>
        <w:t xml:space="preserve">N Engl J Med. </w:t>
      </w:r>
      <w:r w:rsidRPr="005C704C">
        <w:rPr>
          <w:b/>
          <w:bCs/>
          <w:sz w:val="18"/>
          <w:szCs w:val="18"/>
          <w:lang w:val="en-US"/>
        </w:rPr>
        <w:t>2020</w:t>
      </w:r>
      <w:r w:rsidRPr="005C704C">
        <w:rPr>
          <w:sz w:val="18"/>
          <w:szCs w:val="18"/>
          <w:lang w:val="en-US"/>
        </w:rPr>
        <w:t xml:space="preserve"> Mar 26;382(13):1244-1256. doi: 10.1056/NEJMra1810764. PMID: 32212520.</w:t>
      </w:r>
    </w:p>
    <w:p w14:paraId="788A872C" w14:textId="77777777" w:rsidR="005C704C" w:rsidRPr="005C704C" w:rsidRDefault="005C704C" w:rsidP="0072132A">
      <w:pPr>
        <w:pStyle w:val="Testonotadichiusura"/>
        <w:jc w:val="both"/>
        <w:rPr>
          <w:lang w:val="en-US"/>
        </w:rPr>
      </w:pPr>
    </w:p>
  </w:endnote>
  <w:endnote w:id="197">
    <w:p w14:paraId="3B866255" w14:textId="77D73EEC" w:rsidR="005C704C" w:rsidRPr="005C704C" w:rsidRDefault="005C704C" w:rsidP="0072132A">
      <w:pPr>
        <w:pStyle w:val="Testonotadichiusura"/>
        <w:jc w:val="both"/>
        <w:rPr>
          <w:lang w:val="en-US"/>
        </w:rPr>
      </w:pPr>
      <w:r>
        <w:rPr>
          <w:rStyle w:val="Rimandonotadichiusura"/>
        </w:rPr>
        <w:endnoteRef/>
      </w:r>
      <w:r w:rsidRPr="005C704C">
        <w:rPr>
          <w:lang w:val="en-US"/>
        </w:rPr>
        <w:t xml:space="preserve"> </w:t>
      </w:r>
      <w:r w:rsidRPr="005C704C">
        <w:rPr>
          <w:sz w:val="18"/>
          <w:szCs w:val="18"/>
          <w:lang w:val="en-US"/>
        </w:rPr>
        <w:t xml:space="preserve">Vercellini P, Consonni D, Dridi D, Bracco B, Frattaruolo MP, Somigliana E. </w:t>
      </w:r>
      <w:r w:rsidRPr="005C704C">
        <w:rPr>
          <w:i/>
          <w:iCs/>
          <w:sz w:val="18"/>
          <w:szCs w:val="18"/>
          <w:lang w:val="en-US"/>
        </w:rPr>
        <w:t xml:space="preserve">Uterine adenomyosis and in vitro fertilization outcome: a systematic review and meta-analysis. </w:t>
      </w:r>
      <w:r w:rsidRPr="005C704C">
        <w:rPr>
          <w:sz w:val="18"/>
          <w:szCs w:val="18"/>
          <w:lang w:val="en-US"/>
        </w:rPr>
        <w:t xml:space="preserve">Hum Reprod. </w:t>
      </w:r>
      <w:r w:rsidRPr="008D28EB">
        <w:rPr>
          <w:b/>
          <w:bCs/>
          <w:sz w:val="18"/>
          <w:szCs w:val="18"/>
          <w:lang w:val="en-US"/>
        </w:rPr>
        <w:t>2014</w:t>
      </w:r>
      <w:r w:rsidRPr="005C704C">
        <w:rPr>
          <w:sz w:val="18"/>
          <w:szCs w:val="18"/>
          <w:lang w:val="en-US"/>
        </w:rPr>
        <w:t xml:space="preserve"> May;29(5):964-77. doi: 10.1093/humrep/deu041. Epub 2014 Mar 12. PMID: 24622619.</w:t>
      </w:r>
    </w:p>
    <w:p w14:paraId="126EEB77" w14:textId="77777777" w:rsidR="005C704C" w:rsidRPr="005C704C" w:rsidRDefault="005C704C" w:rsidP="0072132A">
      <w:pPr>
        <w:pStyle w:val="Testonotadichiusura"/>
        <w:jc w:val="both"/>
        <w:rPr>
          <w:lang w:val="en-US"/>
        </w:rPr>
      </w:pPr>
    </w:p>
  </w:endnote>
  <w:endnote w:id="198">
    <w:p w14:paraId="21CA1CCE" w14:textId="25075DA7" w:rsidR="005C704C" w:rsidRDefault="005C704C" w:rsidP="0072132A">
      <w:pPr>
        <w:pStyle w:val="Testonotadichiusura"/>
        <w:jc w:val="both"/>
        <w:rPr>
          <w:lang w:val="en-US"/>
        </w:rPr>
      </w:pPr>
      <w:r>
        <w:rPr>
          <w:rStyle w:val="Rimandonotadichiusura"/>
        </w:rPr>
        <w:endnoteRef/>
      </w:r>
      <w:r w:rsidRPr="005C704C">
        <w:rPr>
          <w:lang w:val="en-US"/>
        </w:rPr>
        <w:t xml:space="preserve"> </w:t>
      </w:r>
      <w:r w:rsidRPr="005C704C">
        <w:rPr>
          <w:sz w:val="18"/>
          <w:szCs w:val="18"/>
          <w:lang w:val="en-US"/>
        </w:rPr>
        <w:t xml:space="preserve">Roque M, Lattes K, Serra S, Solà I, Geber S, Carreras R, Checa MA. </w:t>
      </w:r>
      <w:r w:rsidRPr="005C704C">
        <w:rPr>
          <w:i/>
          <w:iCs/>
          <w:sz w:val="18"/>
          <w:szCs w:val="18"/>
          <w:lang w:val="en-US"/>
        </w:rPr>
        <w:t>Fresh embryo transfer versus frozen embryo transfer in in vitro fertilization cycles: a systematic review and meta-analysis</w:t>
      </w:r>
      <w:r w:rsidRPr="005C704C">
        <w:rPr>
          <w:sz w:val="18"/>
          <w:szCs w:val="18"/>
          <w:lang w:val="en-US"/>
        </w:rPr>
        <w:t xml:space="preserve">. Fertil Steril. </w:t>
      </w:r>
      <w:r w:rsidRPr="005C704C">
        <w:rPr>
          <w:b/>
          <w:bCs/>
          <w:sz w:val="18"/>
          <w:szCs w:val="18"/>
          <w:lang w:val="en-US"/>
        </w:rPr>
        <w:t>2013</w:t>
      </w:r>
      <w:r w:rsidRPr="005C704C">
        <w:rPr>
          <w:sz w:val="18"/>
          <w:szCs w:val="18"/>
          <w:lang w:val="en-US"/>
        </w:rPr>
        <w:t xml:space="preserve"> Jan;99(1):156-162. doi: 10.1016/j.fertnstert.2012.09.003. Epub 2012 Oct 3. PMID: 23040524.</w:t>
      </w:r>
    </w:p>
    <w:p w14:paraId="6A33E73A" w14:textId="77777777" w:rsidR="005C704C" w:rsidRPr="005C704C" w:rsidRDefault="005C704C" w:rsidP="0072132A">
      <w:pPr>
        <w:pStyle w:val="Testonotadichiusura"/>
        <w:jc w:val="both"/>
        <w:rPr>
          <w:lang w:val="en-US"/>
        </w:rPr>
      </w:pPr>
    </w:p>
  </w:endnote>
  <w:endnote w:id="199">
    <w:p w14:paraId="2AD02EA6" w14:textId="7BF8B2E7" w:rsidR="005C704C" w:rsidRPr="005C704C" w:rsidRDefault="005C704C" w:rsidP="0072132A">
      <w:pPr>
        <w:pStyle w:val="Testonotadichiusura"/>
        <w:jc w:val="both"/>
        <w:rPr>
          <w:sz w:val="18"/>
          <w:szCs w:val="18"/>
          <w:lang w:val="en-US"/>
        </w:rPr>
      </w:pPr>
      <w:r>
        <w:rPr>
          <w:rStyle w:val="Rimandonotadichiusura"/>
        </w:rPr>
        <w:endnoteRef/>
      </w:r>
      <w:r w:rsidRPr="005C704C">
        <w:rPr>
          <w:lang w:val="en-US"/>
        </w:rPr>
        <w:t xml:space="preserve"> </w:t>
      </w:r>
      <w:r w:rsidRPr="005C704C">
        <w:rPr>
          <w:sz w:val="18"/>
          <w:szCs w:val="18"/>
          <w:lang w:val="en-US"/>
        </w:rPr>
        <w:t xml:space="preserve">Missmer SA, Chavarro JE, Malspeis S, Bertone-Johnson ER, Hornstein MD, Spiegelman D, Barbieri RL, Willett WC, Hankinson SE. </w:t>
      </w:r>
      <w:r w:rsidRPr="005C704C">
        <w:rPr>
          <w:i/>
          <w:iCs/>
          <w:sz w:val="18"/>
          <w:szCs w:val="18"/>
          <w:lang w:val="en-US"/>
        </w:rPr>
        <w:t>A prospective study of dietary fat consumption and endometriosis risk</w:t>
      </w:r>
      <w:r w:rsidRPr="005C704C">
        <w:rPr>
          <w:sz w:val="18"/>
          <w:szCs w:val="18"/>
          <w:lang w:val="en-US"/>
        </w:rPr>
        <w:t xml:space="preserve">. Hum Reprod. </w:t>
      </w:r>
      <w:r w:rsidRPr="005C704C">
        <w:rPr>
          <w:b/>
          <w:bCs/>
          <w:sz w:val="18"/>
          <w:szCs w:val="18"/>
          <w:lang w:val="en-US"/>
        </w:rPr>
        <w:t>2010</w:t>
      </w:r>
      <w:r w:rsidRPr="005C704C">
        <w:rPr>
          <w:sz w:val="18"/>
          <w:szCs w:val="18"/>
          <w:lang w:val="en-US"/>
        </w:rPr>
        <w:t xml:space="preserve"> Jun;25(6):1528-35. doi: 10.1093/humrep/deq044. Epub 2010 Mar 23. PMID: 20332166; PMCID: PMC2873173.</w:t>
      </w:r>
    </w:p>
    <w:p w14:paraId="247ACE66" w14:textId="77777777" w:rsidR="005C704C" w:rsidRPr="005C704C" w:rsidRDefault="005C704C" w:rsidP="0072132A">
      <w:pPr>
        <w:pStyle w:val="Testonotadichiusura"/>
        <w:jc w:val="both"/>
        <w:rPr>
          <w:lang w:val="en-US"/>
        </w:rPr>
      </w:pPr>
    </w:p>
  </w:endnote>
  <w:endnote w:id="200">
    <w:p w14:paraId="3CF1074A" w14:textId="6E9526EE" w:rsidR="005C704C" w:rsidRPr="00BD122B" w:rsidRDefault="005C704C" w:rsidP="0072132A">
      <w:pPr>
        <w:pStyle w:val="Testonotadichiusura"/>
        <w:jc w:val="both"/>
        <w:rPr>
          <w:lang w:val="en-US"/>
        </w:rPr>
      </w:pPr>
      <w:r>
        <w:rPr>
          <w:rStyle w:val="Rimandonotadichiusura"/>
        </w:rPr>
        <w:endnoteRef/>
      </w:r>
      <w:r w:rsidRPr="005C704C">
        <w:rPr>
          <w:lang w:val="en-US"/>
        </w:rPr>
        <w:t xml:space="preserve"> </w:t>
      </w:r>
      <w:r w:rsidRPr="005C704C">
        <w:rPr>
          <w:sz w:val="18"/>
          <w:szCs w:val="18"/>
          <w:lang w:val="en-US"/>
        </w:rPr>
        <w:t xml:space="preserve">Saha R, Pettersson HJ, Svedberg P, Olovsson M, Bergqvist A, Marions L, Tornvall P, Kuja-Halkola R. Heritability of endometriosis. </w:t>
      </w:r>
      <w:r w:rsidRPr="00BD122B">
        <w:rPr>
          <w:sz w:val="18"/>
          <w:szCs w:val="18"/>
          <w:lang w:val="en-US"/>
        </w:rPr>
        <w:t xml:space="preserve">Fertil Steril. </w:t>
      </w:r>
      <w:r w:rsidRPr="00BD122B">
        <w:rPr>
          <w:b/>
          <w:bCs/>
          <w:sz w:val="18"/>
          <w:szCs w:val="18"/>
          <w:lang w:val="en-US"/>
        </w:rPr>
        <w:t>2015</w:t>
      </w:r>
      <w:r w:rsidRPr="00BD122B">
        <w:rPr>
          <w:sz w:val="18"/>
          <w:szCs w:val="18"/>
          <w:lang w:val="en-US"/>
        </w:rPr>
        <w:t xml:space="preserve"> Oct;104(4):947-952. doi:10.1016/j.fertnstert.2015.06.035. Epub 2015 Jul 22. PMID: 26209831</w:t>
      </w:r>
      <w:r w:rsidRPr="00BD122B">
        <w:rPr>
          <w:lang w:val="en-US"/>
        </w:rPr>
        <w:t>.</w:t>
      </w:r>
    </w:p>
    <w:p w14:paraId="7BE07FD6" w14:textId="77777777" w:rsidR="005C704C" w:rsidRPr="005C704C" w:rsidRDefault="005C704C" w:rsidP="0072132A">
      <w:pPr>
        <w:pStyle w:val="Testonotadichiusura"/>
        <w:jc w:val="both"/>
        <w:rPr>
          <w:lang w:val="en-US"/>
        </w:rPr>
      </w:pPr>
    </w:p>
  </w:endnote>
  <w:endnote w:id="201">
    <w:p w14:paraId="1335E3FD" w14:textId="62F27739" w:rsidR="005C704C" w:rsidRDefault="005C704C" w:rsidP="0072132A">
      <w:pPr>
        <w:pStyle w:val="Testonotadichiusura"/>
        <w:jc w:val="both"/>
        <w:rPr>
          <w:lang w:val="en-US"/>
        </w:rPr>
      </w:pPr>
      <w:r>
        <w:rPr>
          <w:rStyle w:val="Rimandonotadichiusura"/>
        </w:rPr>
        <w:endnoteRef/>
      </w:r>
      <w:r w:rsidRPr="005C704C">
        <w:rPr>
          <w:lang w:val="en-US"/>
        </w:rPr>
        <w:t xml:space="preserve"> </w:t>
      </w:r>
      <w:r w:rsidRPr="005C704C">
        <w:rPr>
          <w:sz w:val="18"/>
          <w:szCs w:val="18"/>
          <w:lang w:val="en-US"/>
        </w:rPr>
        <w:t xml:space="preserve">Treloar SA, O'Connor DT, O'Connor VM, Martin NG. </w:t>
      </w:r>
      <w:r w:rsidRPr="005C704C">
        <w:rPr>
          <w:i/>
          <w:iCs/>
          <w:sz w:val="18"/>
          <w:szCs w:val="18"/>
          <w:lang w:val="en-US"/>
        </w:rPr>
        <w:t>Genetic influences on endometriosis in an Australian twin sample.</w:t>
      </w:r>
      <w:r w:rsidRPr="005C704C">
        <w:rPr>
          <w:sz w:val="18"/>
          <w:szCs w:val="18"/>
          <w:lang w:val="en-US"/>
        </w:rPr>
        <w:t xml:space="preserve"> sueT@qimr.edu.au. Fertil Steril. </w:t>
      </w:r>
      <w:r w:rsidRPr="005C704C">
        <w:rPr>
          <w:b/>
          <w:bCs/>
          <w:sz w:val="18"/>
          <w:szCs w:val="18"/>
          <w:lang w:val="en-US"/>
        </w:rPr>
        <w:t>1999</w:t>
      </w:r>
      <w:r w:rsidRPr="005C704C">
        <w:rPr>
          <w:sz w:val="18"/>
          <w:szCs w:val="18"/>
          <w:lang w:val="en-US"/>
        </w:rPr>
        <w:t xml:space="preserve"> Apr;71(4):701-10. doi: 10.1016/s0015-0282(98)00540-8. PMID: 10202882.</w:t>
      </w:r>
    </w:p>
    <w:p w14:paraId="2232EBC5" w14:textId="77777777" w:rsidR="005C704C" w:rsidRPr="005C704C" w:rsidRDefault="005C704C" w:rsidP="0072132A">
      <w:pPr>
        <w:pStyle w:val="Testonotadichiusura"/>
        <w:jc w:val="both"/>
        <w:rPr>
          <w:lang w:val="en-US"/>
        </w:rPr>
      </w:pPr>
    </w:p>
  </w:endnote>
  <w:endnote w:id="202">
    <w:p w14:paraId="3E44B7A3" w14:textId="509921DB" w:rsidR="009910CB" w:rsidRPr="009910CB" w:rsidRDefault="009910CB" w:rsidP="0072132A">
      <w:pPr>
        <w:pStyle w:val="Testonotadichiusura"/>
        <w:jc w:val="both"/>
        <w:rPr>
          <w:lang w:val="en-US"/>
        </w:rPr>
      </w:pPr>
      <w:r>
        <w:rPr>
          <w:rStyle w:val="Rimandonotadichiusura"/>
        </w:rPr>
        <w:endnoteRef/>
      </w:r>
      <w:r w:rsidRPr="009910CB">
        <w:rPr>
          <w:lang w:val="en-US"/>
        </w:rPr>
        <w:t xml:space="preserve"> </w:t>
      </w:r>
      <w:r w:rsidRPr="009910CB">
        <w:rPr>
          <w:sz w:val="18"/>
          <w:szCs w:val="18"/>
          <w:lang w:val="en-US"/>
        </w:rPr>
        <w:t xml:space="preserve">Bougie O, Healey J, Singh SS. </w:t>
      </w:r>
      <w:r w:rsidRPr="009910CB">
        <w:rPr>
          <w:i/>
          <w:iCs/>
          <w:sz w:val="18"/>
          <w:szCs w:val="18"/>
          <w:lang w:val="en-US"/>
        </w:rPr>
        <w:t>Behind the times: revisiting endometriosis and race</w:t>
      </w:r>
      <w:r w:rsidRPr="009910CB">
        <w:rPr>
          <w:sz w:val="18"/>
          <w:szCs w:val="18"/>
          <w:lang w:val="en-US"/>
        </w:rPr>
        <w:t xml:space="preserve">. Am J Obstet Gynecol. </w:t>
      </w:r>
      <w:r w:rsidRPr="009910CB">
        <w:rPr>
          <w:b/>
          <w:bCs/>
          <w:sz w:val="18"/>
          <w:szCs w:val="18"/>
          <w:lang w:val="en-US"/>
        </w:rPr>
        <w:t>2019</w:t>
      </w:r>
      <w:r w:rsidRPr="009910CB">
        <w:rPr>
          <w:sz w:val="18"/>
          <w:szCs w:val="18"/>
          <w:lang w:val="en-US"/>
        </w:rPr>
        <w:t xml:space="preserve"> Jul;221(1):35.e1-35.e5. doi: 10.1016/j.ajog.2019.01.238. Epub 2019 Feb 6. PMID: 30738028.</w:t>
      </w:r>
    </w:p>
    <w:p w14:paraId="5E183D0C" w14:textId="77777777" w:rsidR="009910CB" w:rsidRPr="009910CB" w:rsidRDefault="009910CB" w:rsidP="0072132A">
      <w:pPr>
        <w:pStyle w:val="Testonotadichiusura"/>
        <w:jc w:val="both"/>
        <w:rPr>
          <w:lang w:val="en-US"/>
        </w:rPr>
      </w:pPr>
    </w:p>
  </w:endnote>
  <w:endnote w:id="203">
    <w:p w14:paraId="1F1B4A9E" w14:textId="1B6E4D25" w:rsidR="009910CB" w:rsidRPr="009910CB" w:rsidRDefault="009910CB" w:rsidP="0072132A">
      <w:pPr>
        <w:pStyle w:val="Testonotadichiusura"/>
        <w:jc w:val="both"/>
        <w:rPr>
          <w:b/>
          <w:bCs/>
          <w:sz w:val="18"/>
          <w:szCs w:val="18"/>
          <w:lang w:val="en-US"/>
        </w:rPr>
      </w:pPr>
      <w:r>
        <w:rPr>
          <w:rStyle w:val="Rimandonotadichiusura"/>
        </w:rPr>
        <w:endnoteRef/>
      </w:r>
      <w:r w:rsidRPr="009910CB">
        <w:rPr>
          <w:lang w:val="en-US"/>
        </w:rPr>
        <w:t xml:space="preserve"> </w:t>
      </w:r>
      <w:r w:rsidRPr="009910CB">
        <w:rPr>
          <w:sz w:val="18"/>
          <w:szCs w:val="18"/>
          <w:lang w:val="en-US"/>
        </w:rPr>
        <w:t xml:space="preserve">American Society for Reproductive Medicine. </w:t>
      </w:r>
      <w:r w:rsidRPr="009910CB">
        <w:rPr>
          <w:i/>
          <w:iCs/>
          <w:sz w:val="18"/>
          <w:szCs w:val="18"/>
          <w:lang w:val="en-US"/>
        </w:rPr>
        <w:t>Revised American Society for Reproductive Medicine classification of endometriosis</w:t>
      </w:r>
      <w:r w:rsidRPr="009910CB">
        <w:rPr>
          <w:sz w:val="18"/>
          <w:szCs w:val="18"/>
          <w:lang w:val="en-US"/>
        </w:rPr>
        <w:t xml:space="preserve">: </w:t>
      </w:r>
      <w:r w:rsidRPr="009910CB">
        <w:rPr>
          <w:b/>
          <w:bCs/>
          <w:sz w:val="18"/>
          <w:szCs w:val="18"/>
          <w:lang w:val="en-US"/>
        </w:rPr>
        <w:t>1996</w:t>
      </w:r>
      <w:r w:rsidRPr="009910CB">
        <w:rPr>
          <w:sz w:val="18"/>
          <w:szCs w:val="18"/>
          <w:lang w:val="en-US"/>
        </w:rPr>
        <w:t>.</w:t>
      </w:r>
      <w:r w:rsidRPr="009910CB">
        <w:rPr>
          <w:i/>
          <w:iCs/>
          <w:sz w:val="18"/>
          <w:szCs w:val="18"/>
          <w:lang w:val="en-US"/>
        </w:rPr>
        <w:t>Fertil Steril.</w:t>
      </w:r>
      <w:r w:rsidRPr="009910CB">
        <w:rPr>
          <w:sz w:val="18"/>
          <w:szCs w:val="18"/>
          <w:lang w:val="en-US"/>
        </w:rPr>
        <w:t xml:space="preserve"> 1997;67(5):817–821. PMID: </w:t>
      </w:r>
      <w:r w:rsidRPr="009910CB">
        <w:rPr>
          <w:b/>
          <w:bCs/>
          <w:sz w:val="18"/>
          <w:szCs w:val="18"/>
          <w:lang w:val="en-US"/>
        </w:rPr>
        <w:t>9130884</w:t>
      </w:r>
    </w:p>
    <w:p w14:paraId="71BB8052" w14:textId="77777777" w:rsidR="009910CB" w:rsidRPr="009910CB" w:rsidRDefault="009910CB" w:rsidP="0072132A">
      <w:pPr>
        <w:pStyle w:val="Testonotadichiusura"/>
        <w:jc w:val="both"/>
        <w:rPr>
          <w:lang w:val="en-US"/>
        </w:rPr>
      </w:pPr>
    </w:p>
  </w:endnote>
  <w:endnote w:id="204">
    <w:p w14:paraId="6707F30D" w14:textId="6E8C6622" w:rsidR="009910CB" w:rsidRPr="00EF3012" w:rsidRDefault="009910CB" w:rsidP="0072132A">
      <w:pPr>
        <w:pStyle w:val="Testonotadichiusura"/>
        <w:jc w:val="both"/>
        <w:rPr>
          <w:lang w:val="en-US"/>
        </w:rPr>
      </w:pPr>
      <w:r>
        <w:rPr>
          <w:rStyle w:val="Rimandonotadichiusura"/>
        </w:rPr>
        <w:endnoteRef/>
      </w:r>
      <w:r w:rsidRPr="009910CB">
        <w:rPr>
          <w:lang w:val="en-US"/>
        </w:rPr>
        <w:t xml:space="preserve"> </w:t>
      </w:r>
      <w:r w:rsidRPr="009910CB">
        <w:rPr>
          <w:sz w:val="18"/>
          <w:szCs w:val="18"/>
          <w:lang w:val="en-US"/>
        </w:rPr>
        <w:t xml:space="preserve">Adamson GD. </w:t>
      </w:r>
      <w:r w:rsidRPr="009910CB">
        <w:rPr>
          <w:i/>
          <w:iCs/>
          <w:sz w:val="18"/>
          <w:szCs w:val="18"/>
          <w:lang w:val="en-US"/>
        </w:rPr>
        <w:t>Endometriosis classification: an update</w:t>
      </w:r>
      <w:r w:rsidRPr="009910CB">
        <w:rPr>
          <w:sz w:val="18"/>
          <w:szCs w:val="18"/>
          <w:lang w:val="en-US"/>
        </w:rPr>
        <w:t xml:space="preserve">. </w:t>
      </w:r>
      <w:r w:rsidRPr="00EF3012">
        <w:rPr>
          <w:sz w:val="18"/>
          <w:szCs w:val="18"/>
          <w:lang w:val="en-US"/>
        </w:rPr>
        <w:t xml:space="preserve">Curr Opin Obstet Gynecol. </w:t>
      </w:r>
      <w:r w:rsidRPr="00EF3012">
        <w:rPr>
          <w:b/>
          <w:bCs/>
          <w:sz w:val="18"/>
          <w:szCs w:val="18"/>
          <w:lang w:val="en-US"/>
        </w:rPr>
        <w:t>2011</w:t>
      </w:r>
      <w:r w:rsidRPr="00EF3012">
        <w:rPr>
          <w:sz w:val="18"/>
          <w:szCs w:val="18"/>
          <w:lang w:val="en-US"/>
        </w:rPr>
        <w:t xml:space="preserve"> Aug;23(4):213-20. doi: 10.1097/GCO.0b013e328348a3ba. PMID: 21666464.</w:t>
      </w:r>
    </w:p>
    <w:p w14:paraId="5E987AE3" w14:textId="77777777" w:rsidR="009910CB" w:rsidRPr="009910CB" w:rsidRDefault="009910CB" w:rsidP="0072132A">
      <w:pPr>
        <w:pStyle w:val="Testonotadichiusura"/>
        <w:jc w:val="both"/>
        <w:rPr>
          <w:lang w:val="en-US"/>
        </w:rPr>
      </w:pPr>
    </w:p>
  </w:endnote>
  <w:endnote w:id="205">
    <w:p w14:paraId="2557ED5A" w14:textId="0AF7F7AB" w:rsidR="00EF3012" w:rsidRPr="00DF2951" w:rsidRDefault="00EF3012" w:rsidP="00DF2951">
      <w:pPr>
        <w:pStyle w:val="Testonotadichiusura"/>
        <w:jc w:val="both"/>
        <w:rPr>
          <w:sz w:val="18"/>
          <w:szCs w:val="18"/>
          <w:lang w:val="en-US"/>
        </w:rPr>
      </w:pPr>
      <w:r>
        <w:rPr>
          <w:rStyle w:val="Rimandonotadichiusura"/>
        </w:rPr>
        <w:endnoteRef/>
      </w:r>
      <w:r w:rsidRPr="00EF3012">
        <w:rPr>
          <w:lang w:val="en-US"/>
        </w:rPr>
        <w:t xml:space="preserve"> </w:t>
      </w:r>
      <w:r w:rsidRPr="00DF2951">
        <w:rPr>
          <w:sz w:val="18"/>
          <w:szCs w:val="18"/>
          <w:lang w:val="en-US"/>
        </w:rPr>
        <w:t xml:space="preserve">Greaves E, Grieve K, Horne AW, Saunders PT. </w:t>
      </w:r>
      <w:r w:rsidRPr="00DF2951">
        <w:rPr>
          <w:i/>
          <w:iCs/>
          <w:sz w:val="18"/>
          <w:szCs w:val="18"/>
          <w:lang w:val="en-US"/>
        </w:rPr>
        <w:t xml:space="preserve">Elevated peritoneal expression and estrogen regulation of nociceptive ion channels in endometriosis. </w:t>
      </w:r>
      <w:r w:rsidRPr="00DF2951">
        <w:rPr>
          <w:sz w:val="18"/>
          <w:szCs w:val="18"/>
          <w:lang w:val="en-US"/>
        </w:rPr>
        <w:t xml:space="preserve">J Clin Endocrinol Metab. </w:t>
      </w:r>
      <w:r w:rsidRPr="00DF2951">
        <w:rPr>
          <w:b/>
          <w:bCs/>
          <w:sz w:val="18"/>
          <w:szCs w:val="18"/>
          <w:lang w:val="en-US"/>
        </w:rPr>
        <w:t>2014</w:t>
      </w:r>
      <w:r w:rsidRPr="00DF2951">
        <w:rPr>
          <w:sz w:val="18"/>
          <w:szCs w:val="18"/>
          <w:lang w:val="en-US"/>
        </w:rPr>
        <w:t xml:space="preserve"> Sep;99(9):E1738-43. doi: 10.1210/jc.2014-2282. Epub 2014 Jul 16. PMID: 25029427; PMCID: PMC4207935.</w:t>
      </w:r>
    </w:p>
    <w:p w14:paraId="0AAFF5C7" w14:textId="77777777" w:rsidR="00EF3012" w:rsidRPr="00DF2951" w:rsidRDefault="00EF3012" w:rsidP="00DF2951">
      <w:pPr>
        <w:pStyle w:val="Testonotadichiusura"/>
        <w:jc w:val="both"/>
        <w:rPr>
          <w:sz w:val="18"/>
          <w:szCs w:val="18"/>
          <w:lang w:val="en-US"/>
        </w:rPr>
      </w:pPr>
    </w:p>
  </w:endnote>
  <w:endnote w:id="206">
    <w:p w14:paraId="27478A01" w14:textId="671797D5" w:rsidR="00EF3012" w:rsidRPr="00DF2951" w:rsidRDefault="00EF3012" w:rsidP="00DF2951">
      <w:pPr>
        <w:pStyle w:val="Testonotadichiusura"/>
        <w:jc w:val="both"/>
        <w:rPr>
          <w:sz w:val="18"/>
          <w:szCs w:val="18"/>
        </w:rPr>
      </w:pPr>
      <w:r w:rsidRPr="00DF2951">
        <w:rPr>
          <w:rStyle w:val="Rimandonotadichiusura"/>
          <w:sz w:val="18"/>
          <w:szCs w:val="18"/>
        </w:rPr>
        <w:endnoteRef/>
      </w:r>
      <w:r w:rsidRPr="00DF2951">
        <w:rPr>
          <w:sz w:val="18"/>
          <w:szCs w:val="18"/>
          <w:lang w:val="en-US"/>
        </w:rPr>
        <w:t xml:space="preserve"> Tuttlies F, Keckstein J, Ulrich U, Possover M, Schweppe KW, Wustlich M, Buchweitz O, Greb R, Kandolf O, Mangold R, Masetti W, Neis K, Rauter G, Reeka N, Richter O, Schindler AE, Sillem M, Terruhn V, Tinneberg HR. </w:t>
      </w:r>
      <w:r w:rsidRPr="00DF2951">
        <w:rPr>
          <w:i/>
          <w:iCs/>
          <w:sz w:val="18"/>
          <w:szCs w:val="18"/>
          <w:lang w:val="en-US"/>
        </w:rPr>
        <w:t>ENZIAN-Score, eine Klassifikation der tief infiltrierenden Endometriose [ENZIAN-score, a classification of deep infiltrating endometriosis].</w:t>
      </w:r>
      <w:r w:rsidRPr="00DF2951">
        <w:rPr>
          <w:sz w:val="18"/>
          <w:szCs w:val="18"/>
          <w:lang w:val="en-US"/>
        </w:rPr>
        <w:t xml:space="preserve"> Zentralbl Gynakol. </w:t>
      </w:r>
      <w:r w:rsidRPr="00DF2951">
        <w:rPr>
          <w:b/>
          <w:bCs/>
          <w:sz w:val="18"/>
          <w:szCs w:val="18"/>
          <w:lang w:val="en-US"/>
        </w:rPr>
        <w:t>2005</w:t>
      </w:r>
      <w:r w:rsidRPr="00DF2951">
        <w:rPr>
          <w:sz w:val="18"/>
          <w:szCs w:val="18"/>
          <w:lang w:val="en-US"/>
        </w:rPr>
        <w:t xml:space="preserve"> Oct;127(5):275-81. German. doi: 10.1055/s-2005-836904. </w:t>
      </w:r>
      <w:r w:rsidRPr="00DF2951">
        <w:rPr>
          <w:sz w:val="18"/>
          <w:szCs w:val="18"/>
        </w:rPr>
        <w:t>PMID: 16195969.</w:t>
      </w:r>
    </w:p>
    <w:p w14:paraId="0F5FBE63" w14:textId="77777777" w:rsidR="00EF3012" w:rsidRPr="00DF2951" w:rsidRDefault="00EF3012" w:rsidP="00DF2951">
      <w:pPr>
        <w:pStyle w:val="Testonotadichiusura"/>
        <w:jc w:val="both"/>
        <w:rPr>
          <w:sz w:val="18"/>
          <w:szCs w:val="18"/>
        </w:rPr>
      </w:pPr>
    </w:p>
  </w:endnote>
  <w:endnote w:id="207">
    <w:p w14:paraId="033E1FF9" w14:textId="45A14633" w:rsidR="0048619C" w:rsidRPr="00DF2951" w:rsidRDefault="0048619C" w:rsidP="00DF2951">
      <w:pPr>
        <w:pStyle w:val="Testonotadichiusura"/>
        <w:jc w:val="both"/>
        <w:rPr>
          <w:sz w:val="18"/>
          <w:szCs w:val="18"/>
          <w:lang w:val="en-US"/>
        </w:rPr>
      </w:pPr>
      <w:r w:rsidRPr="00DF2951">
        <w:rPr>
          <w:rStyle w:val="Rimandonotadichiusura"/>
          <w:sz w:val="18"/>
          <w:szCs w:val="18"/>
        </w:rPr>
        <w:endnoteRef/>
      </w:r>
      <w:r w:rsidRPr="00DF2951">
        <w:rPr>
          <w:sz w:val="18"/>
          <w:szCs w:val="18"/>
        </w:rPr>
        <w:t xml:space="preserve"> Foti PV, Farina R, Palmucci S, Vizzini IAA, Libertini N, Coronella M, Spadola S, Caltabiano R, Iraci M, Basile A, Milone P, Cianci A, Ettorre GC. </w:t>
      </w:r>
      <w:r w:rsidRPr="00DF2951">
        <w:rPr>
          <w:sz w:val="18"/>
          <w:szCs w:val="18"/>
          <w:lang w:val="en-US"/>
        </w:rPr>
        <w:t>Endometriosis: clinical features, MR imaging findings and pathologic correlation. Insights Imaging. 2018 Apr;9(2):149-172. doi: 10.1007/s13244-017-0591-0. Epub 2018 Feb 15. PMID: 29450853; PMCID: PMC5893487.</w:t>
      </w:r>
    </w:p>
    <w:p w14:paraId="0EBE62DA" w14:textId="015D48A9" w:rsidR="0048619C" w:rsidRPr="00DF2951" w:rsidRDefault="0048619C" w:rsidP="00DF2951">
      <w:pPr>
        <w:pStyle w:val="Testonotadichiusura"/>
        <w:jc w:val="both"/>
        <w:rPr>
          <w:sz w:val="18"/>
          <w:szCs w:val="18"/>
          <w:lang w:val="en-US"/>
        </w:rPr>
      </w:pPr>
    </w:p>
  </w:endnote>
  <w:endnote w:id="208">
    <w:p w14:paraId="202FB5E3" w14:textId="16293A33" w:rsidR="0048619C" w:rsidRPr="00DF2951" w:rsidRDefault="0048619C"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Lee SY, Koo YJ, Lee DH. Classification of endometriosis. Yeungnam Univ J Med. 2021 Jan;38(1):10-18. doi: 10.12701/yujm.2020.00444. Epub 2020 Aug 7. PMID: 32764213; PMCID: PMC7787892.</w:t>
      </w:r>
    </w:p>
    <w:p w14:paraId="204D7735" w14:textId="77777777" w:rsidR="0048619C" w:rsidRPr="00DF2951" w:rsidRDefault="0048619C" w:rsidP="00DF2951">
      <w:pPr>
        <w:pStyle w:val="Testonotadichiusura"/>
        <w:jc w:val="both"/>
        <w:rPr>
          <w:sz w:val="18"/>
          <w:szCs w:val="18"/>
          <w:lang w:val="en-US"/>
        </w:rPr>
      </w:pPr>
    </w:p>
  </w:endnote>
  <w:endnote w:id="209">
    <w:p w14:paraId="5B275EA9" w14:textId="7C5A37D4" w:rsidR="00D3663A" w:rsidRPr="00D3663A" w:rsidRDefault="00D3663A" w:rsidP="00D3663A">
      <w:pPr>
        <w:pStyle w:val="Testonotadichiusura"/>
        <w:jc w:val="both"/>
        <w:rPr>
          <w:lang w:val="en-US"/>
        </w:rPr>
      </w:pPr>
      <w:r>
        <w:rPr>
          <w:rStyle w:val="Rimandonotadichiusura"/>
        </w:rPr>
        <w:endnoteRef/>
      </w:r>
      <w:r w:rsidRPr="00D3663A">
        <w:rPr>
          <w:lang w:val="en-US"/>
        </w:rPr>
        <w:t xml:space="preserve"> </w:t>
      </w:r>
      <w:r w:rsidRPr="00D3663A">
        <w:rPr>
          <w:sz w:val="18"/>
          <w:szCs w:val="18"/>
          <w:lang w:val="en-US"/>
        </w:rPr>
        <w:t xml:space="preserve">Bazot M, Bharwani N, Huchon C, Kinkel K, Cunha TM, Guerra A, Manganaro L, Buñesch L, Kido A, Togashi K, Thomassin-Naggara I, Rockall AG. </w:t>
      </w:r>
      <w:r w:rsidRPr="00D3663A">
        <w:rPr>
          <w:i/>
          <w:iCs/>
          <w:sz w:val="18"/>
          <w:szCs w:val="18"/>
          <w:lang w:val="en-US"/>
        </w:rPr>
        <w:t xml:space="preserve">European society of urogenital radiology (ESUR) guidelines: MR imaging of pelvic endometriosis. </w:t>
      </w:r>
      <w:r w:rsidRPr="00D3663A">
        <w:rPr>
          <w:sz w:val="18"/>
          <w:szCs w:val="18"/>
          <w:lang w:val="en-US"/>
        </w:rPr>
        <w:t xml:space="preserve">Eur Radiol. </w:t>
      </w:r>
      <w:r w:rsidRPr="00D3663A">
        <w:rPr>
          <w:b/>
          <w:bCs/>
          <w:sz w:val="18"/>
          <w:szCs w:val="18"/>
          <w:lang w:val="en-US"/>
        </w:rPr>
        <w:t>2017</w:t>
      </w:r>
      <w:r w:rsidRPr="00D3663A">
        <w:rPr>
          <w:sz w:val="18"/>
          <w:szCs w:val="18"/>
          <w:lang w:val="en-US"/>
        </w:rPr>
        <w:t xml:space="preserve"> Jul;27(7):2765-2775. doi: 10.1007/s00330-016-4673-z. Epub 2016 Dec 5. PMID: 27921160; PMCID: PMC5486785.</w:t>
      </w:r>
    </w:p>
    <w:p w14:paraId="63C1EBC4" w14:textId="77777777" w:rsidR="00D3663A" w:rsidRPr="00D3663A" w:rsidRDefault="00D3663A">
      <w:pPr>
        <w:pStyle w:val="Testonotadichiusura"/>
        <w:rPr>
          <w:lang w:val="en-US"/>
        </w:rPr>
      </w:pPr>
    </w:p>
  </w:endnote>
  <w:endnote w:id="210">
    <w:p w14:paraId="65B45CDA" w14:textId="27131B93" w:rsidR="00711011" w:rsidRPr="00DF2951" w:rsidRDefault="00711011"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Somigliana E, Viganò P, Benaglia L, Busnelli A, Paffoni A, Vercellini P. </w:t>
      </w:r>
      <w:r w:rsidRPr="00DF2951">
        <w:rPr>
          <w:i/>
          <w:iCs/>
          <w:sz w:val="18"/>
          <w:szCs w:val="18"/>
          <w:lang w:val="en-US"/>
        </w:rPr>
        <w:t xml:space="preserve">Ovarian stimulation and endometriosis progression or recurrence: a systematic review. </w:t>
      </w:r>
      <w:r w:rsidRPr="00DF2951">
        <w:rPr>
          <w:sz w:val="18"/>
          <w:szCs w:val="18"/>
          <w:lang w:val="en-US"/>
        </w:rPr>
        <w:t xml:space="preserve">Reprod Biomed Online. </w:t>
      </w:r>
      <w:r w:rsidRPr="00DF2951">
        <w:rPr>
          <w:b/>
          <w:bCs/>
          <w:sz w:val="18"/>
          <w:szCs w:val="18"/>
          <w:lang w:val="en-US"/>
        </w:rPr>
        <w:t>2019</w:t>
      </w:r>
      <w:r w:rsidRPr="00DF2951">
        <w:rPr>
          <w:sz w:val="18"/>
          <w:szCs w:val="18"/>
          <w:lang w:val="en-US"/>
        </w:rPr>
        <w:t xml:space="preserve"> Feb;38(2):185-194. doi: 10.1016/j.rbmo.2018.11.021. Epub 2018 Dec 23. PMID: 30609970.</w:t>
      </w:r>
    </w:p>
    <w:p w14:paraId="6C8BCAB5" w14:textId="77777777" w:rsidR="00711011" w:rsidRPr="00711011" w:rsidRDefault="00711011">
      <w:pPr>
        <w:pStyle w:val="Testonotadichiusura"/>
        <w:rPr>
          <w:lang w:val="en-US"/>
        </w:rPr>
      </w:pPr>
    </w:p>
  </w:endnote>
  <w:endnote w:id="211">
    <w:p w14:paraId="398DE799" w14:textId="631B1DCE" w:rsidR="00711011" w:rsidRPr="00DF2951" w:rsidRDefault="00711011" w:rsidP="00DF2951">
      <w:pPr>
        <w:pStyle w:val="Testonotadichiusura"/>
        <w:jc w:val="both"/>
        <w:rPr>
          <w:sz w:val="18"/>
          <w:szCs w:val="18"/>
        </w:rPr>
      </w:pPr>
      <w:r>
        <w:rPr>
          <w:rStyle w:val="Rimandonotadichiusura"/>
        </w:rPr>
        <w:endnoteRef/>
      </w:r>
      <w:r w:rsidRPr="00711011">
        <w:rPr>
          <w:lang w:val="en-US"/>
        </w:rPr>
        <w:t xml:space="preserve"> </w:t>
      </w:r>
      <w:r w:rsidRPr="00711011">
        <w:rPr>
          <w:sz w:val="18"/>
          <w:szCs w:val="18"/>
          <w:lang w:val="en-US"/>
        </w:rPr>
        <w:t xml:space="preserve">Redwine DB. </w:t>
      </w:r>
      <w:r w:rsidRPr="00711011">
        <w:rPr>
          <w:i/>
          <w:iCs/>
          <w:sz w:val="18"/>
          <w:szCs w:val="18"/>
          <w:lang w:val="en-US"/>
        </w:rPr>
        <w:t>Age-related evolution in color appearance of endometriosis</w:t>
      </w:r>
      <w:r w:rsidRPr="00711011">
        <w:rPr>
          <w:sz w:val="18"/>
          <w:szCs w:val="18"/>
          <w:lang w:val="en-US"/>
        </w:rPr>
        <w:t xml:space="preserve">. </w:t>
      </w:r>
      <w:r w:rsidRPr="00BD122B">
        <w:rPr>
          <w:sz w:val="18"/>
          <w:szCs w:val="18"/>
        </w:rPr>
        <w:t xml:space="preserve">Fertil Steril. </w:t>
      </w:r>
      <w:r w:rsidRPr="00BD122B">
        <w:rPr>
          <w:b/>
          <w:bCs/>
          <w:sz w:val="18"/>
          <w:szCs w:val="18"/>
        </w:rPr>
        <w:t>1987</w:t>
      </w:r>
      <w:r w:rsidRPr="00BD122B">
        <w:rPr>
          <w:sz w:val="18"/>
          <w:szCs w:val="18"/>
        </w:rPr>
        <w:t xml:space="preserve"> Dec;48(6):1062-3. PMID: 3678506.</w:t>
      </w:r>
    </w:p>
    <w:p w14:paraId="73426B81" w14:textId="77777777" w:rsidR="00711011" w:rsidRPr="00DF2951" w:rsidRDefault="00711011" w:rsidP="00DF2951">
      <w:pPr>
        <w:pStyle w:val="Testonotadichiusura"/>
        <w:jc w:val="both"/>
        <w:rPr>
          <w:sz w:val="18"/>
          <w:szCs w:val="18"/>
        </w:rPr>
      </w:pPr>
    </w:p>
  </w:endnote>
  <w:endnote w:id="212">
    <w:p w14:paraId="146ED131" w14:textId="6182E0BD" w:rsidR="00711011" w:rsidRPr="00DF2951" w:rsidRDefault="00711011" w:rsidP="00DF2951">
      <w:pPr>
        <w:pStyle w:val="Testonotadichiusura"/>
        <w:jc w:val="both"/>
        <w:rPr>
          <w:sz w:val="18"/>
          <w:szCs w:val="18"/>
          <w:lang w:val="en-US"/>
        </w:rPr>
      </w:pPr>
      <w:r w:rsidRPr="00DF2951">
        <w:rPr>
          <w:rStyle w:val="Rimandonotadichiusura"/>
          <w:sz w:val="18"/>
          <w:szCs w:val="18"/>
        </w:rPr>
        <w:endnoteRef/>
      </w:r>
      <w:r w:rsidRPr="00DF2951">
        <w:rPr>
          <w:sz w:val="18"/>
          <w:szCs w:val="18"/>
        </w:rPr>
        <w:t xml:space="preserve"> Muzii L, Di Tucci C, Di Feliciantonio M, Marchetti C, Perniola G, Panici PB. </w:t>
      </w:r>
      <w:r w:rsidRPr="00DF2951">
        <w:rPr>
          <w:i/>
          <w:iCs/>
          <w:sz w:val="18"/>
          <w:szCs w:val="18"/>
          <w:lang w:val="en-US"/>
        </w:rPr>
        <w:t>The effect of surgery for endometrioma on ovarian reserve evaluated by antral follicle count: a systematic review and meta-analysis.</w:t>
      </w:r>
      <w:r w:rsidRPr="00DF2951">
        <w:rPr>
          <w:sz w:val="18"/>
          <w:szCs w:val="18"/>
          <w:lang w:val="en-US"/>
        </w:rPr>
        <w:t xml:space="preserve"> Hum Reprod. </w:t>
      </w:r>
      <w:r w:rsidRPr="00DF2951">
        <w:rPr>
          <w:b/>
          <w:bCs/>
          <w:sz w:val="18"/>
          <w:szCs w:val="18"/>
          <w:lang w:val="en-US"/>
        </w:rPr>
        <w:t>2014</w:t>
      </w:r>
      <w:r w:rsidRPr="00DF2951">
        <w:rPr>
          <w:sz w:val="18"/>
          <w:szCs w:val="18"/>
          <w:lang w:val="en-US"/>
        </w:rPr>
        <w:t xml:space="preserve"> Oct 10;29(10):2190-8. doi: 10.1093/humrep/deu199. Epub 2014 Aug 1. PMID: 25085800.</w:t>
      </w:r>
    </w:p>
    <w:p w14:paraId="3C7FF961" w14:textId="77777777" w:rsidR="00711011" w:rsidRPr="00DF2951" w:rsidRDefault="00711011" w:rsidP="00DF2951">
      <w:pPr>
        <w:pStyle w:val="Testonotadichiusura"/>
        <w:jc w:val="both"/>
        <w:rPr>
          <w:sz w:val="18"/>
          <w:szCs w:val="18"/>
          <w:lang w:val="en-US"/>
        </w:rPr>
      </w:pPr>
    </w:p>
  </w:endnote>
  <w:endnote w:id="213">
    <w:p w14:paraId="662DC997" w14:textId="6F6F222A" w:rsidR="00711011" w:rsidRPr="00DF2951" w:rsidRDefault="00711011"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Daniilidis A, Grigoriadis G, Kalaitzopoulos DR, Angioni S, Kalkan Ü, Crestani A, Merlot B, Roman H. </w:t>
      </w:r>
      <w:r w:rsidRPr="00DF2951">
        <w:rPr>
          <w:i/>
          <w:iCs/>
          <w:sz w:val="18"/>
          <w:szCs w:val="18"/>
          <w:lang w:val="en-US"/>
        </w:rPr>
        <w:t>Surgical Management of Ovarian Endometrioma: Impact on Ovarian Reserve Parameters and Reproductive Outcomes</w:t>
      </w:r>
      <w:r w:rsidRPr="00DF2951">
        <w:rPr>
          <w:sz w:val="18"/>
          <w:szCs w:val="18"/>
          <w:lang w:val="en-US"/>
        </w:rPr>
        <w:t xml:space="preserve">. J Clin Med. </w:t>
      </w:r>
      <w:r w:rsidRPr="00DF2951">
        <w:rPr>
          <w:b/>
          <w:bCs/>
          <w:sz w:val="18"/>
          <w:szCs w:val="18"/>
          <w:lang w:val="en-US"/>
        </w:rPr>
        <w:t>2023</w:t>
      </w:r>
      <w:r w:rsidRPr="00DF2951">
        <w:rPr>
          <w:sz w:val="18"/>
          <w:szCs w:val="18"/>
          <w:lang w:val="en-US"/>
        </w:rPr>
        <w:t xml:space="preserve"> Aug 16;12(16):5324. doi: 10.3390/jcm12165324. PMID: 37629367; PMCID: PMC10455819.</w:t>
      </w:r>
    </w:p>
    <w:p w14:paraId="4E6A7879" w14:textId="77777777" w:rsidR="00711011" w:rsidRPr="00DF2951" w:rsidRDefault="00711011" w:rsidP="00DF2951">
      <w:pPr>
        <w:pStyle w:val="Testonotadichiusura"/>
        <w:jc w:val="both"/>
        <w:rPr>
          <w:sz w:val="18"/>
          <w:szCs w:val="18"/>
          <w:lang w:val="en-US"/>
        </w:rPr>
      </w:pPr>
    </w:p>
  </w:endnote>
  <w:endnote w:id="214">
    <w:p w14:paraId="14D35A03" w14:textId="3406F3F5" w:rsidR="007F3168" w:rsidRPr="00DF2951" w:rsidRDefault="007F3168"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Chapron C, Fauconnier A, Vieira M, Barakat H, Dousset B, Pansini V, Vacher-Lavenu MC, Dubuisson JB. </w:t>
      </w:r>
      <w:r w:rsidRPr="00DF2951">
        <w:rPr>
          <w:i/>
          <w:iCs/>
          <w:sz w:val="18"/>
          <w:szCs w:val="18"/>
          <w:lang w:val="en-US"/>
        </w:rPr>
        <w:t>Anatomical distribution of deeply infiltrating endometriosis: surgical implications and proposition for a classification. Hum Reprod</w:t>
      </w:r>
      <w:r w:rsidRPr="00DF2951">
        <w:rPr>
          <w:sz w:val="18"/>
          <w:szCs w:val="18"/>
          <w:lang w:val="en-US"/>
        </w:rPr>
        <w:t xml:space="preserve">. </w:t>
      </w:r>
      <w:r w:rsidRPr="00DF2951">
        <w:rPr>
          <w:b/>
          <w:bCs/>
          <w:sz w:val="18"/>
          <w:szCs w:val="18"/>
          <w:lang w:val="en-US"/>
        </w:rPr>
        <w:t>2003</w:t>
      </w:r>
      <w:r w:rsidRPr="00DF2951">
        <w:rPr>
          <w:sz w:val="18"/>
          <w:szCs w:val="18"/>
          <w:lang w:val="en-US"/>
        </w:rPr>
        <w:t xml:space="preserve"> Jan;18(1):157-61. doi: 10.1093/humrep/deg009. PMID: 12525459.</w:t>
      </w:r>
    </w:p>
    <w:p w14:paraId="7729F619" w14:textId="77777777" w:rsidR="007F3168" w:rsidRPr="00DF2951" w:rsidRDefault="007F3168" w:rsidP="00DF2951">
      <w:pPr>
        <w:pStyle w:val="Testonotadichiusura"/>
        <w:jc w:val="both"/>
        <w:rPr>
          <w:sz w:val="18"/>
          <w:szCs w:val="18"/>
          <w:lang w:val="en-US"/>
        </w:rPr>
      </w:pPr>
    </w:p>
  </w:endnote>
  <w:endnote w:id="215">
    <w:p w14:paraId="2227DB4E" w14:textId="673293F2" w:rsidR="007F3168" w:rsidRPr="00DF2951" w:rsidRDefault="007F3168"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Nezhat C, King LP, Paka C, Odegaard J, Beygui R. </w:t>
      </w:r>
      <w:r w:rsidRPr="00DF2951">
        <w:rPr>
          <w:i/>
          <w:iCs/>
          <w:sz w:val="18"/>
          <w:szCs w:val="18"/>
          <w:lang w:val="en-US"/>
        </w:rPr>
        <w:t xml:space="preserve">Bilateral thoracic endometriosis affecting the lung and diaphragm. </w:t>
      </w:r>
      <w:r w:rsidRPr="00DF2951">
        <w:rPr>
          <w:sz w:val="18"/>
          <w:szCs w:val="18"/>
          <w:lang w:val="en-US"/>
        </w:rPr>
        <w:t xml:space="preserve">JSLS. </w:t>
      </w:r>
      <w:r w:rsidRPr="00DF2951">
        <w:rPr>
          <w:b/>
          <w:bCs/>
          <w:sz w:val="18"/>
          <w:szCs w:val="18"/>
          <w:lang w:val="en-US"/>
        </w:rPr>
        <w:t>2012</w:t>
      </w:r>
      <w:r w:rsidRPr="00DF2951">
        <w:rPr>
          <w:sz w:val="18"/>
          <w:szCs w:val="18"/>
          <w:lang w:val="en-US"/>
        </w:rPr>
        <w:t xml:space="preserve"> Jan-Mar;16(1):140-2. doi: 10.4293/108680812X13291597716384. PMID: 22906342; PMCID: PMC3407434.</w:t>
      </w:r>
    </w:p>
    <w:p w14:paraId="4931040D" w14:textId="77777777" w:rsidR="007F3168" w:rsidRPr="00DF2951" w:rsidRDefault="007F3168" w:rsidP="00DF2951">
      <w:pPr>
        <w:pStyle w:val="Testonotadichiusura"/>
        <w:jc w:val="both"/>
        <w:rPr>
          <w:sz w:val="18"/>
          <w:szCs w:val="18"/>
          <w:lang w:val="en-US"/>
        </w:rPr>
      </w:pPr>
    </w:p>
  </w:endnote>
  <w:endnote w:id="216">
    <w:p w14:paraId="63CB0CEB" w14:textId="5ADCBF79" w:rsidR="007F3168" w:rsidRPr="00DF2951" w:rsidRDefault="007F3168"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Joseph J, Sahn SA. </w:t>
      </w:r>
      <w:r w:rsidRPr="00DF2951">
        <w:rPr>
          <w:i/>
          <w:iCs/>
          <w:sz w:val="18"/>
          <w:szCs w:val="18"/>
          <w:lang w:val="en-US"/>
        </w:rPr>
        <w:t>Thoracic endometriosis syndrome: new observations from an analysis of 110 cases</w:t>
      </w:r>
      <w:r w:rsidRPr="00DF2951">
        <w:rPr>
          <w:sz w:val="18"/>
          <w:szCs w:val="18"/>
          <w:lang w:val="en-US"/>
        </w:rPr>
        <w:t xml:space="preserve">. Am J Med. </w:t>
      </w:r>
      <w:r w:rsidRPr="00DF2951">
        <w:rPr>
          <w:b/>
          <w:bCs/>
          <w:sz w:val="18"/>
          <w:szCs w:val="18"/>
          <w:lang w:val="en-US"/>
        </w:rPr>
        <w:t>1996</w:t>
      </w:r>
      <w:r w:rsidRPr="00DF2951">
        <w:rPr>
          <w:sz w:val="18"/>
          <w:szCs w:val="18"/>
          <w:lang w:val="en-US"/>
        </w:rPr>
        <w:t xml:space="preserve"> Feb;100(2):164-70. doi: 10.1016/s0002-9343(97)89454-5. PMID: 8629650.</w:t>
      </w:r>
    </w:p>
    <w:p w14:paraId="4742EF24" w14:textId="77777777" w:rsidR="007F3168" w:rsidRPr="00DF2951" w:rsidRDefault="007F3168" w:rsidP="00DF2951">
      <w:pPr>
        <w:pStyle w:val="Testonotadichiusura"/>
        <w:jc w:val="both"/>
        <w:rPr>
          <w:sz w:val="18"/>
          <w:szCs w:val="18"/>
          <w:lang w:val="en-US"/>
        </w:rPr>
      </w:pPr>
    </w:p>
  </w:endnote>
  <w:endnote w:id="217">
    <w:p w14:paraId="11ED80D0" w14:textId="6AD52A01" w:rsidR="007F3168" w:rsidRPr="00DF2951" w:rsidRDefault="007F3168"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Alifano M, Trisolini R, Cancellieri A, Regnard JF. </w:t>
      </w:r>
      <w:r w:rsidRPr="00DF2951">
        <w:rPr>
          <w:i/>
          <w:iCs/>
          <w:sz w:val="18"/>
          <w:szCs w:val="18"/>
          <w:lang w:val="en-US"/>
        </w:rPr>
        <w:t>Thoracic endometriosis: current knowledge.</w:t>
      </w:r>
      <w:r w:rsidRPr="00DF2951">
        <w:rPr>
          <w:sz w:val="18"/>
          <w:szCs w:val="18"/>
          <w:lang w:val="en-US"/>
        </w:rPr>
        <w:t xml:space="preserve"> Ann Thorac Surg. </w:t>
      </w:r>
      <w:r w:rsidRPr="00DF2951">
        <w:rPr>
          <w:b/>
          <w:bCs/>
          <w:sz w:val="18"/>
          <w:szCs w:val="18"/>
          <w:lang w:val="en-US"/>
        </w:rPr>
        <w:t>2006</w:t>
      </w:r>
      <w:r w:rsidRPr="00DF2951">
        <w:rPr>
          <w:sz w:val="18"/>
          <w:szCs w:val="18"/>
          <w:lang w:val="en-US"/>
        </w:rPr>
        <w:t xml:space="preserve"> Feb;81(2):761-9. doi: 10.1016/j.athoracsur.2005.07.044. PMID: 16427904.</w:t>
      </w:r>
    </w:p>
    <w:p w14:paraId="21E097D5" w14:textId="77777777" w:rsidR="007F3168" w:rsidRPr="007F3168" w:rsidRDefault="007F3168" w:rsidP="00DF2951">
      <w:pPr>
        <w:pStyle w:val="Testonotadichiusura"/>
        <w:jc w:val="both"/>
        <w:rPr>
          <w:lang w:val="en-US"/>
        </w:rPr>
      </w:pPr>
    </w:p>
  </w:endnote>
  <w:endnote w:id="218">
    <w:p w14:paraId="519A4352" w14:textId="4689368A" w:rsidR="00675696" w:rsidRPr="00022CAC" w:rsidRDefault="00675696" w:rsidP="00DF2951">
      <w:pPr>
        <w:pStyle w:val="Testonotadichiusura"/>
        <w:jc w:val="both"/>
        <w:rPr>
          <w:lang w:val="en-US"/>
        </w:rPr>
      </w:pPr>
      <w:r>
        <w:rPr>
          <w:rStyle w:val="Rimandonotadichiusura"/>
        </w:rPr>
        <w:endnoteRef/>
      </w:r>
      <w:r w:rsidRPr="00675696">
        <w:rPr>
          <w:lang w:val="en-US"/>
        </w:rPr>
        <w:t xml:space="preserve"> </w:t>
      </w:r>
      <w:r w:rsidRPr="00675696">
        <w:rPr>
          <w:sz w:val="18"/>
          <w:szCs w:val="18"/>
          <w:lang w:val="en-US"/>
        </w:rPr>
        <w:t xml:space="preserve">Ferrero S, Esposito F, Abbamonte LH, Anserini P, Remorgida V, Ragni N. </w:t>
      </w:r>
      <w:r w:rsidRPr="00675696">
        <w:rPr>
          <w:i/>
          <w:iCs/>
          <w:sz w:val="18"/>
          <w:szCs w:val="18"/>
          <w:lang w:val="en-US"/>
        </w:rPr>
        <w:t>Quality of sex life in women with endometriosis and deep dyspareunia.</w:t>
      </w:r>
      <w:r w:rsidRPr="00675696">
        <w:rPr>
          <w:sz w:val="18"/>
          <w:szCs w:val="18"/>
          <w:lang w:val="en-US"/>
        </w:rPr>
        <w:t xml:space="preserve"> </w:t>
      </w:r>
      <w:r w:rsidRPr="00022CAC">
        <w:rPr>
          <w:sz w:val="18"/>
          <w:szCs w:val="18"/>
          <w:lang w:val="en-US"/>
        </w:rPr>
        <w:t xml:space="preserve">Fertil Steril. </w:t>
      </w:r>
      <w:r w:rsidRPr="00022CAC">
        <w:rPr>
          <w:b/>
          <w:bCs/>
          <w:sz w:val="18"/>
          <w:szCs w:val="18"/>
          <w:lang w:val="en-US"/>
        </w:rPr>
        <w:t>2005</w:t>
      </w:r>
      <w:r w:rsidRPr="00022CAC">
        <w:rPr>
          <w:sz w:val="18"/>
          <w:szCs w:val="18"/>
          <w:lang w:val="en-US"/>
        </w:rPr>
        <w:t xml:space="preserve"> Mar;83(3):573-9. doi: 10.1016/j.fertnstert.2004.07.973. PMID: 15749483.</w:t>
      </w:r>
    </w:p>
    <w:p w14:paraId="4D3F8B00" w14:textId="77777777" w:rsidR="00675696" w:rsidRPr="00675696" w:rsidRDefault="00675696" w:rsidP="00DF2951">
      <w:pPr>
        <w:pStyle w:val="Testonotadichiusura"/>
        <w:jc w:val="both"/>
        <w:rPr>
          <w:lang w:val="en-US"/>
        </w:rPr>
      </w:pPr>
    </w:p>
  </w:endnote>
  <w:endnote w:id="219">
    <w:p w14:paraId="4B056D66" w14:textId="54ABA363" w:rsidR="00022CAC" w:rsidRPr="00022CAC" w:rsidRDefault="00022CAC" w:rsidP="00DF2951">
      <w:pPr>
        <w:pStyle w:val="Testonotadichiusura"/>
        <w:jc w:val="both"/>
        <w:rPr>
          <w:sz w:val="18"/>
          <w:szCs w:val="18"/>
          <w:lang w:val="en-US"/>
        </w:rPr>
      </w:pPr>
      <w:r>
        <w:rPr>
          <w:rStyle w:val="Rimandonotadichiusura"/>
        </w:rPr>
        <w:endnoteRef/>
      </w:r>
      <w:r w:rsidRPr="00022CAC">
        <w:rPr>
          <w:lang w:val="en-US"/>
        </w:rPr>
        <w:t xml:space="preserve"> </w:t>
      </w:r>
      <w:r w:rsidRPr="00022CAC">
        <w:rPr>
          <w:sz w:val="18"/>
          <w:szCs w:val="18"/>
          <w:lang w:val="en-US"/>
        </w:rPr>
        <w:t xml:space="preserve">Tripoli TM, Sato H, Sartori MG, de Araujo FF, Girão MJ, Schor E. </w:t>
      </w:r>
      <w:r w:rsidRPr="00022CAC">
        <w:rPr>
          <w:i/>
          <w:iCs/>
          <w:sz w:val="18"/>
          <w:szCs w:val="18"/>
          <w:lang w:val="en-US"/>
        </w:rPr>
        <w:t>Evaluation of quality of life and sexual satisfaction in women suffering from chronic pelvic pain with or without endometriosis</w:t>
      </w:r>
      <w:r w:rsidRPr="00022CAC">
        <w:rPr>
          <w:sz w:val="18"/>
          <w:szCs w:val="18"/>
          <w:lang w:val="en-US"/>
        </w:rPr>
        <w:t xml:space="preserve">. J Sex Med. </w:t>
      </w:r>
      <w:r w:rsidRPr="00022CAC">
        <w:rPr>
          <w:b/>
          <w:bCs/>
          <w:sz w:val="18"/>
          <w:szCs w:val="18"/>
          <w:lang w:val="en-US"/>
        </w:rPr>
        <w:t>2011</w:t>
      </w:r>
      <w:r w:rsidRPr="00022CAC">
        <w:rPr>
          <w:sz w:val="18"/>
          <w:szCs w:val="18"/>
          <w:lang w:val="en-US"/>
        </w:rPr>
        <w:t xml:space="preserve"> Feb;8(2):497-503. doi: 10.1111/j.1743-6109.2010.01976.x. Epub 2010 Aug 16. PMID: 20722779.</w:t>
      </w:r>
    </w:p>
    <w:p w14:paraId="44A06384" w14:textId="77777777" w:rsidR="00022CAC" w:rsidRPr="00022CAC" w:rsidRDefault="00022CAC" w:rsidP="00DF2951">
      <w:pPr>
        <w:pStyle w:val="Testonotadichiusura"/>
        <w:jc w:val="both"/>
        <w:rPr>
          <w:lang w:val="en-US"/>
        </w:rPr>
      </w:pPr>
    </w:p>
  </w:endnote>
  <w:endnote w:id="220">
    <w:p w14:paraId="77417829" w14:textId="791CBA89" w:rsidR="00022CAC" w:rsidRPr="00BD122B" w:rsidRDefault="00022CAC" w:rsidP="00DF2951">
      <w:pPr>
        <w:pStyle w:val="Testonotadichiusura"/>
        <w:jc w:val="both"/>
        <w:rPr>
          <w:sz w:val="18"/>
          <w:szCs w:val="18"/>
          <w:lang w:val="en-US"/>
        </w:rPr>
      </w:pPr>
      <w:r>
        <w:rPr>
          <w:rStyle w:val="Rimandonotadichiusura"/>
        </w:rPr>
        <w:endnoteRef/>
      </w:r>
      <w:r w:rsidRPr="00022CAC">
        <w:rPr>
          <w:lang w:val="en-US"/>
        </w:rPr>
        <w:t xml:space="preserve"> </w:t>
      </w:r>
      <w:r w:rsidRPr="00022CAC">
        <w:rPr>
          <w:sz w:val="18"/>
          <w:szCs w:val="18"/>
          <w:lang w:val="en-US"/>
        </w:rPr>
        <w:t xml:space="preserve">Bulun SE, Yilmaz BD, Sison C, Miyazaki K, Bernardi L, Liu S, Kohlmeier A, Yin P, Milad M, Wei J. </w:t>
      </w:r>
      <w:r w:rsidRPr="00022CAC">
        <w:rPr>
          <w:i/>
          <w:iCs/>
          <w:sz w:val="18"/>
          <w:szCs w:val="18"/>
          <w:lang w:val="en-US"/>
        </w:rPr>
        <w:t>Endometriosis.</w:t>
      </w:r>
      <w:r w:rsidRPr="00022CAC">
        <w:rPr>
          <w:sz w:val="18"/>
          <w:szCs w:val="18"/>
          <w:lang w:val="en-US"/>
        </w:rPr>
        <w:t xml:space="preserve"> </w:t>
      </w:r>
      <w:r w:rsidRPr="00BD122B">
        <w:rPr>
          <w:sz w:val="18"/>
          <w:szCs w:val="18"/>
          <w:lang w:val="en-US"/>
        </w:rPr>
        <w:t xml:space="preserve">Endocr Rev. </w:t>
      </w:r>
      <w:r w:rsidRPr="00BD122B">
        <w:rPr>
          <w:b/>
          <w:bCs/>
          <w:sz w:val="18"/>
          <w:szCs w:val="18"/>
          <w:lang w:val="en-US"/>
        </w:rPr>
        <w:t>2019</w:t>
      </w:r>
      <w:r w:rsidRPr="00BD122B">
        <w:rPr>
          <w:sz w:val="18"/>
          <w:szCs w:val="18"/>
          <w:lang w:val="en-US"/>
        </w:rPr>
        <w:t xml:space="preserve"> Aug 1;40(4):1048-1079. doi: 10.1210/er.2018-00242. PMID: 30994890; PMCID: PMC6693056.</w:t>
      </w:r>
    </w:p>
    <w:p w14:paraId="05A2ACD9" w14:textId="77777777" w:rsidR="00022CAC" w:rsidRPr="00022CAC" w:rsidRDefault="00022CAC" w:rsidP="00DF2951">
      <w:pPr>
        <w:pStyle w:val="Testonotadichiusura"/>
        <w:jc w:val="both"/>
        <w:rPr>
          <w:lang w:val="en-US"/>
        </w:rPr>
      </w:pPr>
    </w:p>
  </w:endnote>
  <w:endnote w:id="221">
    <w:p w14:paraId="56B9AB7D" w14:textId="23D6E357" w:rsidR="00022CAC" w:rsidRPr="00022CAC" w:rsidRDefault="00022CAC" w:rsidP="00DF2951">
      <w:pPr>
        <w:pStyle w:val="Testonotadichiusura"/>
        <w:jc w:val="both"/>
        <w:rPr>
          <w:sz w:val="18"/>
          <w:szCs w:val="18"/>
          <w:lang w:val="en-US"/>
        </w:rPr>
      </w:pPr>
      <w:r>
        <w:rPr>
          <w:rStyle w:val="Rimandonotadichiusura"/>
        </w:rPr>
        <w:endnoteRef/>
      </w:r>
      <w:r w:rsidRPr="00022CAC">
        <w:rPr>
          <w:lang w:val="en-US"/>
        </w:rPr>
        <w:t xml:space="preserve"> </w:t>
      </w:r>
      <w:r w:rsidRPr="00022CAC">
        <w:rPr>
          <w:sz w:val="18"/>
          <w:szCs w:val="18"/>
          <w:lang w:val="en-US"/>
        </w:rPr>
        <w:t xml:space="preserve">Somigliana E, Viganò P, Benaglia L, Busnelli A, Paffoni A, Vercellini P. </w:t>
      </w:r>
      <w:r w:rsidRPr="00022CAC">
        <w:rPr>
          <w:i/>
          <w:iCs/>
          <w:sz w:val="18"/>
          <w:szCs w:val="18"/>
          <w:lang w:val="en-US"/>
        </w:rPr>
        <w:t xml:space="preserve">Ovarian stimulation and endometriosis progression or recurrence: a systematic review. </w:t>
      </w:r>
      <w:r w:rsidRPr="00022CAC">
        <w:rPr>
          <w:sz w:val="18"/>
          <w:szCs w:val="18"/>
          <w:lang w:val="en-US"/>
        </w:rPr>
        <w:t xml:space="preserve">Reprod Biomed Online. </w:t>
      </w:r>
      <w:r w:rsidRPr="00022CAC">
        <w:rPr>
          <w:b/>
          <w:bCs/>
          <w:sz w:val="18"/>
          <w:szCs w:val="18"/>
          <w:lang w:val="en-US"/>
        </w:rPr>
        <w:t>2019</w:t>
      </w:r>
      <w:r w:rsidRPr="00022CAC">
        <w:rPr>
          <w:sz w:val="18"/>
          <w:szCs w:val="18"/>
          <w:lang w:val="en-US"/>
        </w:rPr>
        <w:t xml:space="preserve"> Feb;38(2):185-194. doi: 10.1016/j.rbmo.2018.11.021. Epub 2018 Dec 23. PMID: 30609970.</w:t>
      </w:r>
    </w:p>
    <w:p w14:paraId="201D5BD3" w14:textId="77777777" w:rsidR="00022CAC" w:rsidRPr="00022CAC" w:rsidRDefault="00022CAC" w:rsidP="00DF2951">
      <w:pPr>
        <w:pStyle w:val="Testonotadichiusura"/>
        <w:jc w:val="both"/>
        <w:rPr>
          <w:lang w:val="en-US"/>
        </w:rPr>
      </w:pPr>
    </w:p>
  </w:endnote>
  <w:endnote w:id="222">
    <w:p w14:paraId="36576B79" w14:textId="223B32C3" w:rsidR="00022CAC" w:rsidRPr="00022CAC" w:rsidRDefault="00022CAC" w:rsidP="00DF2951">
      <w:pPr>
        <w:pStyle w:val="Testonotadichiusura"/>
        <w:jc w:val="both"/>
        <w:rPr>
          <w:sz w:val="18"/>
          <w:szCs w:val="18"/>
          <w:lang w:val="en-US"/>
        </w:rPr>
      </w:pPr>
      <w:r>
        <w:rPr>
          <w:rStyle w:val="Rimandonotadichiusura"/>
        </w:rPr>
        <w:endnoteRef/>
      </w:r>
      <w:r w:rsidRPr="00022CAC">
        <w:rPr>
          <w:lang w:val="en-US"/>
        </w:rPr>
        <w:t xml:space="preserve"> </w:t>
      </w:r>
      <w:r w:rsidRPr="00022CAC">
        <w:rPr>
          <w:sz w:val="18"/>
          <w:szCs w:val="18"/>
          <w:lang w:val="en-US"/>
        </w:rPr>
        <w:t xml:space="preserve">Stratton P, Berkley KJ. </w:t>
      </w:r>
      <w:r w:rsidRPr="00022CAC">
        <w:rPr>
          <w:i/>
          <w:iCs/>
          <w:sz w:val="18"/>
          <w:szCs w:val="18"/>
          <w:lang w:val="en-US"/>
        </w:rPr>
        <w:t xml:space="preserve">Chronic pelvic pain and endometriosis: translational evidence of the relationship and implications. </w:t>
      </w:r>
      <w:r w:rsidRPr="00022CAC">
        <w:rPr>
          <w:sz w:val="18"/>
          <w:szCs w:val="18"/>
          <w:lang w:val="en-US"/>
        </w:rPr>
        <w:t xml:space="preserve">Hum Reprod Update. </w:t>
      </w:r>
      <w:r w:rsidRPr="00022CAC">
        <w:rPr>
          <w:b/>
          <w:bCs/>
          <w:sz w:val="18"/>
          <w:szCs w:val="18"/>
          <w:lang w:val="en-US"/>
        </w:rPr>
        <w:t>2011</w:t>
      </w:r>
      <w:r w:rsidRPr="00022CAC">
        <w:rPr>
          <w:sz w:val="18"/>
          <w:szCs w:val="18"/>
          <w:lang w:val="en-US"/>
        </w:rPr>
        <w:t xml:space="preserve"> May-Jun;17(3):327-46. doi: 10.1093/humupd/dmq050. Epub 2010 Nov 23. PMID: 21106492; PMCID: PMC3072022.</w:t>
      </w:r>
    </w:p>
    <w:p w14:paraId="42A84D42" w14:textId="77777777" w:rsidR="00022CAC" w:rsidRPr="00022CAC" w:rsidRDefault="00022CAC" w:rsidP="00DF2951">
      <w:pPr>
        <w:pStyle w:val="Testonotadichiusura"/>
        <w:jc w:val="both"/>
        <w:rPr>
          <w:lang w:val="en-US"/>
        </w:rPr>
      </w:pPr>
    </w:p>
  </w:endnote>
  <w:endnote w:id="223">
    <w:p w14:paraId="5556880E" w14:textId="37121897" w:rsidR="00022CAC" w:rsidRPr="00BD122B" w:rsidRDefault="00022CAC" w:rsidP="00DF2951">
      <w:pPr>
        <w:pStyle w:val="Testonotadichiusura"/>
        <w:jc w:val="both"/>
        <w:rPr>
          <w:sz w:val="18"/>
          <w:szCs w:val="18"/>
          <w:lang w:val="en-US"/>
        </w:rPr>
      </w:pPr>
      <w:r>
        <w:rPr>
          <w:rStyle w:val="Rimandonotadichiusura"/>
        </w:rPr>
        <w:endnoteRef/>
      </w:r>
      <w:r w:rsidRPr="00022CAC">
        <w:rPr>
          <w:lang w:val="en-US"/>
        </w:rPr>
        <w:t xml:space="preserve"> </w:t>
      </w:r>
      <w:r w:rsidRPr="00022CAC">
        <w:rPr>
          <w:sz w:val="18"/>
          <w:szCs w:val="18"/>
          <w:lang w:val="en-US"/>
        </w:rPr>
        <w:t xml:space="preserve">Raja SN, Carr DB, Cohen M, Finnerup NB, Flor H, Gibson S, Keefe FJ, Mogil JS, Ringkamp M, Sluka KA, Song XJ, Stevens B, Sullivan MD, Tutelman PR, Ushida T, Vader K. </w:t>
      </w:r>
      <w:r w:rsidRPr="00022CAC">
        <w:rPr>
          <w:i/>
          <w:iCs/>
          <w:sz w:val="18"/>
          <w:szCs w:val="18"/>
          <w:lang w:val="en-US"/>
        </w:rPr>
        <w:t>The revised International Association for the Study of Pain definition of pain: concepts, challenges, and compromises.</w:t>
      </w:r>
      <w:r w:rsidRPr="00022CAC">
        <w:rPr>
          <w:sz w:val="18"/>
          <w:szCs w:val="18"/>
          <w:lang w:val="en-US"/>
        </w:rPr>
        <w:t xml:space="preserve"> </w:t>
      </w:r>
      <w:r w:rsidRPr="00BD122B">
        <w:rPr>
          <w:sz w:val="18"/>
          <w:szCs w:val="18"/>
          <w:lang w:val="en-US"/>
        </w:rPr>
        <w:t xml:space="preserve">Pain. </w:t>
      </w:r>
      <w:r w:rsidRPr="00BD122B">
        <w:rPr>
          <w:b/>
          <w:bCs/>
          <w:sz w:val="18"/>
          <w:szCs w:val="18"/>
          <w:lang w:val="en-US"/>
        </w:rPr>
        <w:t>2020</w:t>
      </w:r>
      <w:r w:rsidRPr="00BD122B">
        <w:rPr>
          <w:sz w:val="18"/>
          <w:szCs w:val="18"/>
          <w:lang w:val="en-US"/>
        </w:rPr>
        <w:t xml:space="preserve"> Sep 1;161(9):1976-1982. doi: 10.1097/j.pain.0000000000001939. PMID: 32694387; PMCID: PMC7680716.</w:t>
      </w:r>
    </w:p>
    <w:p w14:paraId="6CEE3D54" w14:textId="77777777" w:rsidR="00022CAC" w:rsidRPr="00022CAC" w:rsidRDefault="00022CAC" w:rsidP="00DF2951">
      <w:pPr>
        <w:pStyle w:val="Testonotadichiusura"/>
        <w:jc w:val="both"/>
        <w:rPr>
          <w:lang w:val="en-US"/>
        </w:rPr>
      </w:pPr>
    </w:p>
  </w:endnote>
  <w:endnote w:id="224">
    <w:p w14:paraId="2087999A" w14:textId="05587067" w:rsidR="00022CAC" w:rsidRPr="00022CAC" w:rsidRDefault="00022CAC" w:rsidP="00DF2951">
      <w:pPr>
        <w:pStyle w:val="Testonotadichiusura"/>
        <w:jc w:val="both"/>
        <w:rPr>
          <w:lang w:val="en-US"/>
        </w:rPr>
      </w:pPr>
      <w:r>
        <w:rPr>
          <w:rStyle w:val="Rimandonotadichiusura"/>
        </w:rPr>
        <w:endnoteRef/>
      </w:r>
      <w:r w:rsidRPr="00022CAC">
        <w:rPr>
          <w:lang w:val="en-US"/>
        </w:rPr>
        <w:t xml:space="preserve"> </w:t>
      </w:r>
      <w:r w:rsidRPr="00022CAC">
        <w:rPr>
          <w:sz w:val="18"/>
          <w:szCs w:val="18"/>
          <w:lang w:val="en-US"/>
        </w:rPr>
        <w:t xml:space="preserve">Abrão MS, Petraglia F, Falcone T, Keckstein J, Osuga Y, Chapron C. </w:t>
      </w:r>
      <w:r w:rsidRPr="00022CAC">
        <w:rPr>
          <w:i/>
          <w:iCs/>
          <w:sz w:val="18"/>
          <w:szCs w:val="18"/>
          <w:lang w:val="en-US"/>
        </w:rPr>
        <w:t xml:space="preserve">Deep endometriosis infiltrating the recto-sigmoid: critical factors to consider before management. </w:t>
      </w:r>
      <w:r w:rsidRPr="00022CAC">
        <w:rPr>
          <w:sz w:val="18"/>
          <w:szCs w:val="18"/>
          <w:lang w:val="en-US"/>
        </w:rPr>
        <w:t xml:space="preserve">Hum Reprod Update. </w:t>
      </w:r>
      <w:r w:rsidRPr="00022CAC">
        <w:rPr>
          <w:b/>
          <w:bCs/>
          <w:sz w:val="18"/>
          <w:szCs w:val="18"/>
          <w:lang w:val="en-US"/>
        </w:rPr>
        <w:t>2015</w:t>
      </w:r>
      <w:r w:rsidRPr="00022CAC">
        <w:rPr>
          <w:sz w:val="18"/>
          <w:szCs w:val="18"/>
          <w:lang w:val="en-US"/>
        </w:rPr>
        <w:t xml:space="preserve"> May-Jun;21(3):329-39. doi: 10.1093/humupd/dmv003. Epub 2015 Jan 24. PMID: 25618908.</w:t>
      </w:r>
    </w:p>
    <w:p w14:paraId="05297A14" w14:textId="77777777" w:rsidR="00022CAC" w:rsidRPr="00022CAC" w:rsidRDefault="00022CAC" w:rsidP="00DF2951">
      <w:pPr>
        <w:pStyle w:val="Testonotadichiusura"/>
        <w:jc w:val="both"/>
        <w:rPr>
          <w:lang w:val="en-US"/>
        </w:rPr>
      </w:pPr>
    </w:p>
  </w:endnote>
  <w:endnote w:id="225">
    <w:p w14:paraId="090884CD" w14:textId="47166975" w:rsidR="00022CAC" w:rsidRPr="005B4940" w:rsidRDefault="00022CAC" w:rsidP="00DF2951">
      <w:pPr>
        <w:pStyle w:val="Testonotadichiusura"/>
        <w:jc w:val="both"/>
        <w:rPr>
          <w:lang w:val="en-US"/>
        </w:rPr>
      </w:pPr>
      <w:r>
        <w:rPr>
          <w:rStyle w:val="Rimandonotadichiusura"/>
        </w:rPr>
        <w:endnoteRef/>
      </w:r>
      <w:r w:rsidRPr="00022CAC">
        <w:rPr>
          <w:lang w:val="en-US"/>
        </w:rPr>
        <w:t xml:space="preserve"> </w:t>
      </w:r>
      <w:r w:rsidRPr="00022CAC">
        <w:rPr>
          <w:sz w:val="18"/>
          <w:szCs w:val="18"/>
          <w:lang w:val="en-US"/>
        </w:rPr>
        <w:t xml:space="preserve">Nezhat C, King LP, Paka C, Odegaard J, Beygui R. </w:t>
      </w:r>
      <w:r w:rsidRPr="00022CAC">
        <w:rPr>
          <w:i/>
          <w:iCs/>
          <w:sz w:val="18"/>
          <w:szCs w:val="18"/>
          <w:lang w:val="en-US"/>
        </w:rPr>
        <w:t xml:space="preserve">Bilateral thoracic endometriosis affecting the lung and diaphragm. </w:t>
      </w:r>
      <w:r w:rsidRPr="005B4940">
        <w:rPr>
          <w:sz w:val="18"/>
          <w:szCs w:val="18"/>
          <w:lang w:val="en-US"/>
        </w:rPr>
        <w:t xml:space="preserve">JSLS. </w:t>
      </w:r>
      <w:r w:rsidRPr="005B4940">
        <w:rPr>
          <w:b/>
          <w:bCs/>
          <w:sz w:val="18"/>
          <w:szCs w:val="18"/>
          <w:lang w:val="en-US"/>
        </w:rPr>
        <w:t>2012</w:t>
      </w:r>
      <w:r w:rsidRPr="005B4940">
        <w:rPr>
          <w:sz w:val="18"/>
          <w:szCs w:val="18"/>
          <w:lang w:val="en-US"/>
        </w:rPr>
        <w:t xml:space="preserve"> Jan-Mar;16(1):140-2. doi: 10.4293/108680812X13291597716384. PMID: 22906342; PMCID: PMC3407434.</w:t>
      </w:r>
    </w:p>
    <w:p w14:paraId="73B56023" w14:textId="77777777" w:rsidR="00022CAC" w:rsidRPr="00022CAC" w:rsidRDefault="00022CAC" w:rsidP="00DF2951">
      <w:pPr>
        <w:pStyle w:val="Testonotadichiusura"/>
        <w:jc w:val="both"/>
        <w:rPr>
          <w:lang w:val="en-US"/>
        </w:rPr>
      </w:pPr>
    </w:p>
  </w:endnote>
  <w:endnote w:id="226">
    <w:p w14:paraId="2C56549A" w14:textId="1B4190E9" w:rsidR="005B4940" w:rsidRPr="005B4940" w:rsidRDefault="005B4940" w:rsidP="00DF2951">
      <w:pPr>
        <w:pStyle w:val="Testonotadichiusura"/>
        <w:jc w:val="both"/>
        <w:rPr>
          <w:lang w:val="en-US"/>
        </w:rPr>
      </w:pPr>
      <w:r>
        <w:rPr>
          <w:rStyle w:val="Rimandonotadichiusura"/>
        </w:rPr>
        <w:endnoteRef/>
      </w:r>
      <w:r w:rsidRPr="005B4940">
        <w:rPr>
          <w:lang w:val="en-US"/>
        </w:rPr>
        <w:t xml:space="preserve"> </w:t>
      </w:r>
      <w:r w:rsidRPr="005B4940">
        <w:rPr>
          <w:sz w:val="18"/>
          <w:szCs w:val="18"/>
          <w:lang w:val="en-US"/>
        </w:rPr>
        <w:t xml:space="preserve">Greaves E, Grieve K, Horne AW, Saunders PT. </w:t>
      </w:r>
      <w:r w:rsidRPr="005B4940">
        <w:rPr>
          <w:i/>
          <w:iCs/>
          <w:sz w:val="18"/>
          <w:szCs w:val="18"/>
          <w:lang w:val="en-US"/>
        </w:rPr>
        <w:t xml:space="preserve">Elevated peritoneal expression and estrogen regulation of nociceptive ion channels in endometriosis. </w:t>
      </w:r>
      <w:r w:rsidRPr="005B4940">
        <w:rPr>
          <w:sz w:val="18"/>
          <w:szCs w:val="18"/>
          <w:lang w:val="en-US"/>
        </w:rPr>
        <w:t xml:space="preserve">J Clin Endocrinol Metab. </w:t>
      </w:r>
      <w:r w:rsidRPr="005B4940">
        <w:rPr>
          <w:b/>
          <w:bCs/>
          <w:sz w:val="18"/>
          <w:szCs w:val="18"/>
          <w:lang w:val="en-US"/>
        </w:rPr>
        <w:t>2014</w:t>
      </w:r>
      <w:r w:rsidRPr="005B4940">
        <w:rPr>
          <w:sz w:val="18"/>
          <w:szCs w:val="18"/>
          <w:lang w:val="en-US"/>
        </w:rPr>
        <w:t xml:space="preserve"> Sep;99(9):E1738-43. doi: 10.1210/jc.2014-2282. Epub 2014 Jul 16. PMID: 25029427; PMCID: PMC4207935.</w:t>
      </w:r>
    </w:p>
    <w:p w14:paraId="1B0B7DEF" w14:textId="77777777" w:rsidR="005B4940" w:rsidRPr="005B4940" w:rsidRDefault="005B4940" w:rsidP="00DF2951">
      <w:pPr>
        <w:pStyle w:val="Testonotadichiusura"/>
        <w:jc w:val="both"/>
        <w:rPr>
          <w:lang w:val="en-US"/>
        </w:rPr>
      </w:pPr>
    </w:p>
  </w:endnote>
  <w:endnote w:id="227">
    <w:p w14:paraId="4A76CD1F" w14:textId="3FF873B6"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Nnoaham KE, Hummelshoj L, Webster P, d'Hooghe T, de Cicco Nardone F, de Cicco Nardone C, Jenkinson C, Kennedy SH, Zondervan KT; </w:t>
      </w:r>
      <w:r w:rsidRPr="00DF2951">
        <w:rPr>
          <w:i/>
          <w:iCs/>
          <w:sz w:val="18"/>
          <w:szCs w:val="18"/>
          <w:lang w:val="en-US"/>
        </w:rPr>
        <w:t xml:space="preserve">World Endometriosis Research Foundation Global Study of Women's Health consortium. Impact of endometriosis on quality of life and work productivity: a multicenter study across ten countries. </w:t>
      </w:r>
      <w:r w:rsidRPr="00DF2951">
        <w:rPr>
          <w:sz w:val="18"/>
          <w:szCs w:val="18"/>
          <w:lang w:val="en-US"/>
        </w:rPr>
        <w:t xml:space="preserve">Fertil Steril. </w:t>
      </w:r>
      <w:r w:rsidRPr="00DF2951">
        <w:rPr>
          <w:b/>
          <w:bCs/>
          <w:sz w:val="18"/>
          <w:szCs w:val="18"/>
          <w:lang w:val="en-US"/>
        </w:rPr>
        <w:t>2011</w:t>
      </w:r>
      <w:r w:rsidRPr="00DF2951">
        <w:rPr>
          <w:sz w:val="18"/>
          <w:szCs w:val="18"/>
          <w:lang w:val="en-US"/>
        </w:rPr>
        <w:t xml:space="preserve"> Aug;96(2):366-373.e8. doi: 10.1016/j.fertnstert.2011.05.090. Epub 2011 Jun 30. PMID: 21718982; PMCID: PMC3679489.</w:t>
      </w:r>
    </w:p>
    <w:p w14:paraId="3D024BCD" w14:textId="77777777" w:rsidR="005B4940" w:rsidRPr="00DF2951" w:rsidRDefault="005B4940" w:rsidP="00DF2951">
      <w:pPr>
        <w:pStyle w:val="Testonotadichiusura"/>
        <w:jc w:val="both"/>
        <w:rPr>
          <w:sz w:val="18"/>
          <w:szCs w:val="18"/>
          <w:lang w:val="en-US"/>
        </w:rPr>
      </w:pPr>
    </w:p>
  </w:endnote>
  <w:endnote w:id="228">
    <w:p w14:paraId="216B9CC0" w14:textId="5591FE44"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Sutton CJ, Ewen SP, Whitelaw N, Haines P</w:t>
      </w:r>
      <w:r w:rsidRPr="00DF2951">
        <w:rPr>
          <w:i/>
          <w:iCs/>
          <w:sz w:val="18"/>
          <w:szCs w:val="18"/>
          <w:lang w:val="en-US"/>
        </w:rPr>
        <w:t>. Prospective, randomized, double-blind, controlled trial of laser laparoscopy in the treatment of pelvic pain associated with minimal, mild, and moderate endometriosis</w:t>
      </w:r>
      <w:r w:rsidRPr="00DF2951">
        <w:rPr>
          <w:sz w:val="18"/>
          <w:szCs w:val="18"/>
          <w:lang w:val="en-US"/>
        </w:rPr>
        <w:t xml:space="preserve">. Fertil Steril. </w:t>
      </w:r>
      <w:r w:rsidRPr="00DF2951">
        <w:rPr>
          <w:b/>
          <w:bCs/>
          <w:sz w:val="18"/>
          <w:szCs w:val="18"/>
          <w:lang w:val="en-US"/>
        </w:rPr>
        <w:t>1994</w:t>
      </w:r>
      <w:r w:rsidRPr="00DF2951">
        <w:rPr>
          <w:sz w:val="18"/>
          <w:szCs w:val="18"/>
          <w:lang w:val="en-US"/>
        </w:rPr>
        <w:t xml:space="preserve"> Oct;62(4):696-700. doi: 10.1016/s0015-0282(16)56990-8. PMID: 7926075.</w:t>
      </w:r>
    </w:p>
    <w:p w14:paraId="14F24B87" w14:textId="77777777" w:rsidR="005B4940" w:rsidRPr="00DF2951" w:rsidRDefault="005B4940" w:rsidP="00DF2951">
      <w:pPr>
        <w:pStyle w:val="Testonotadichiusura"/>
        <w:jc w:val="both"/>
        <w:rPr>
          <w:sz w:val="18"/>
          <w:szCs w:val="18"/>
          <w:lang w:val="en-US"/>
        </w:rPr>
      </w:pPr>
    </w:p>
  </w:endnote>
  <w:endnote w:id="229">
    <w:p w14:paraId="7F02DFCF" w14:textId="3DC4DFE5"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Hickey M, Ballard K, Farquhar C. </w:t>
      </w:r>
      <w:r w:rsidRPr="00DF2951">
        <w:rPr>
          <w:i/>
          <w:iCs/>
          <w:sz w:val="18"/>
          <w:szCs w:val="18"/>
          <w:lang w:val="en-US"/>
        </w:rPr>
        <w:t>Endometriosis</w:t>
      </w:r>
      <w:r w:rsidRPr="00DF2951">
        <w:rPr>
          <w:sz w:val="18"/>
          <w:szCs w:val="18"/>
          <w:lang w:val="en-US"/>
        </w:rPr>
        <w:t xml:space="preserve">. BMJ. </w:t>
      </w:r>
      <w:r w:rsidRPr="00DF2951">
        <w:rPr>
          <w:b/>
          <w:bCs/>
          <w:sz w:val="18"/>
          <w:szCs w:val="18"/>
          <w:lang w:val="en-US"/>
        </w:rPr>
        <w:t>2014</w:t>
      </w:r>
      <w:r w:rsidRPr="00DF2951">
        <w:rPr>
          <w:sz w:val="18"/>
          <w:szCs w:val="18"/>
          <w:lang w:val="en-US"/>
        </w:rPr>
        <w:t xml:space="preserve"> Mar 19;348:g1752. doi: 10.1136/bmj.g1752. PMID: 24647161.</w:t>
      </w:r>
    </w:p>
    <w:p w14:paraId="5CED70E1" w14:textId="77777777" w:rsidR="005B4940" w:rsidRPr="00DF2951" w:rsidRDefault="005B4940" w:rsidP="00DF2951">
      <w:pPr>
        <w:pStyle w:val="Testonotadichiusura"/>
        <w:jc w:val="both"/>
        <w:rPr>
          <w:sz w:val="18"/>
          <w:szCs w:val="18"/>
          <w:lang w:val="en-US"/>
        </w:rPr>
      </w:pPr>
    </w:p>
  </w:endnote>
  <w:endnote w:id="230">
    <w:p w14:paraId="4CE2BE33" w14:textId="1C9FB64E"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Finnerup NB, Haroutounian S, Kamerman P, Baron R, Bennett DLH, Bouhassira D, Cruccu G, Freeman R, Hansson P, Nurmikko T, Raja SN, Rice ASC, Serra J, Smith BH, Treede RD, Jensen TS. </w:t>
      </w:r>
      <w:r w:rsidRPr="00DF2951">
        <w:rPr>
          <w:i/>
          <w:iCs/>
          <w:sz w:val="18"/>
          <w:szCs w:val="18"/>
          <w:lang w:val="en-US"/>
        </w:rPr>
        <w:t xml:space="preserve">Neuropathic pain: an updated grading system for research and clinical practice. </w:t>
      </w:r>
      <w:r w:rsidRPr="00DF2951">
        <w:rPr>
          <w:sz w:val="18"/>
          <w:szCs w:val="18"/>
          <w:lang w:val="en-US"/>
        </w:rPr>
        <w:t xml:space="preserve">Pain. </w:t>
      </w:r>
      <w:r w:rsidRPr="00DF2951">
        <w:rPr>
          <w:b/>
          <w:bCs/>
          <w:sz w:val="18"/>
          <w:szCs w:val="18"/>
          <w:lang w:val="en-US"/>
        </w:rPr>
        <w:t>2016</w:t>
      </w:r>
      <w:r w:rsidRPr="00DF2951">
        <w:rPr>
          <w:sz w:val="18"/>
          <w:szCs w:val="18"/>
          <w:lang w:val="en-US"/>
        </w:rPr>
        <w:t xml:space="preserve"> Aug;157(8):1599-1606.</w:t>
      </w:r>
    </w:p>
    <w:p w14:paraId="79CD1484" w14:textId="77777777" w:rsidR="005B4940" w:rsidRPr="00DF2951" w:rsidRDefault="005B4940" w:rsidP="00DF2951">
      <w:pPr>
        <w:pStyle w:val="Testonotadichiusura"/>
        <w:jc w:val="both"/>
        <w:rPr>
          <w:sz w:val="18"/>
          <w:szCs w:val="18"/>
          <w:lang w:val="en-US"/>
        </w:rPr>
      </w:pPr>
    </w:p>
  </w:endnote>
  <w:endnote w:id="231">
    <w:p w14:paraId="3B7F0498" w14:textId="49D76832"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Berkley KJ. </w:t>
      </w:r>
      <w:r w:rsidRPr="00DF2951">
        <w:rPr>
          <w:i/>
          <w:iCs/>
          <w:sz w:val="18"/>
          <w:szCs w:val="18"/>
          <w:lang w:val="en-US"/>
        </w:rPr>
        <w:t>A life of pelvic pain.</w:t>
      </w:r>
      <w:r w:rsidRPr="00DF2951">
        <w:rPr>
          <w:sz w:val="18"/>
          <w:szCs w:val="18"/>
          <w:lang w:val="en-US"/>
        </w:rPr>
        <w:t xml:space="preserve"> Physiol Behav. </w:t>
      </w:r>
      <w:r w:rsidRPr="00DF2951">
        <w:rPr>
          <w:b/>
          <w:bCs/>
          <w:sz w:val="18"/>
          <w:szCs w:val="18"/>
          <w:lang w:val="en-US"/>
        </w:rPr>
        <w:t>2005</w:t>
      </w:r>
      <w:r w:rsidRPr="00DF2951">
        <w:rPr>
          <w:sz w:val="18"/>
          <w:szCs w:val="18"/>
          <w:lang w:val="en-US"/>
        </w:rPr>
        <w:t xml:space="preserve"> Oct 15;86(3):272-80. doi: 10.1016/j.physbeh.2005.08.013. Epub 2005 Sep 2. PMID: 16139851.</w:t>
      </w:r>
    </w:p>
    <w:p w14:paraId="41F60A92" w14:textId="77777777" w:rsidR="005B4940" w:rsidRPr="00DF2951" w:rsidRDefault="005B4940" w:rsidP="00DF2951">
      <w:pPr>
        <w:pStyle w:val="Testonotadichiusura"/>
        <w:jc w:val="both"/>
        <w:rPr>
          <w:sz w:val="18"/>
          <w:szCs w:val="18"/>
          <w:lang w:val="en-US"/>
        </w:rPr>
      </w:pPr>
    </w:p>
  </w:endnote>
  <w:endnote w:id="232">
    <w:p w14:paraId="5B1479A2" w14:textId="57A24F1E" w:rsidR="005B4940" w:rsidRPr="00DF2951" w:rsidRDefault="005B4940"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Sinaii N, Plumb K, Cotton L, Lambert A, Kennedy S, Zondervan K, Stratton P. </w:t>
      </w:r>
      <w:r w:rsidRPr="00DF2951">
        <w:rPr>
          <w:i/>
          <w:iCs/>
          <w:sz w:val="18"/>
          <w:szCs w:val="18"/>
          <w:lang w:val="en-US"/>
        </w:rPr>
        <w:t>Differences in characteristics among 1,000 women with endometriosis based on extent of disease</w:t>
      </w:r>
      <w:r w:rsidRPr="00DF2951">
        <w:rPr>
          <w:sz w:val="18"/>
          <w:szCs w:val="18"/>
          <w:lang w:val="en-US"/>
        </w:rPr>
        <w:t xml:space="preserve">. Fertil Steril. </w:t>
      </w:r>
      <w:r w:rsidRPr="00DF2951">
        <w:rPr>
          <w:b/>
          <w:bCs/>
          <w:sz w:val="18"/>
          <w:szCs w:val="18"/>
          <w:lang w:val="en-US"/>
        </w:rPr>
        <w:t>2008</w:t>
      </w:r>
      <w:r w:rsidRPr="00DF2951">
        <w:rPr>
          <w:sz w:val="18"/>
          <w:szCs w:val="18"/>
          <w:lang w:val="en-US"/>
        </w:rPr>
        <w:t xml:space="preserve"> Mar;89(3):538-45. doi: 10.1016/j.fertnstert.2007.03.069. Epub 2007 May 11. PMID: 17498711; PMCID: PMC2939902.</w:t>
      </w:r>
    </w:p>
    <w:p w14:paraId="2F4A4EA6" w14:textId="77777777" w:rsidR="005B4940" w:rsidRPr="00DF2951" w:rsidRDefault="005B4940" w:rsidP="00DF2951">
      <w:pPr>
        <w:pStyle w:val="Testonotadichiusura"/>
        <w:jc w:val="both"/>
        <w:rPr>
          <w:sz w:val="18"/>
          <w:szCs w:val="18"/>
          <w:lang w:val="en-US"/>
        </w:rPr>
      </w:pPr>
    </w:p>
  </w:endnote>
  <w:endnote w:id="233">
    <w:p w14:paraId="0AD9CB0B" w14:textId="11CDE126" w:rsidR="00327D07" w:rsidRPr="00DF2951" w:rsidRDefault="00327D07" w:rsidP="00DF2951">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De Graaff AA, D'Hooghe TM, Dunselman GA, Dirksen CD, Hummelshoj L; WERF EndoCost Consortium; Simoens S. </w:t>
      </w:r>
      <w:r w:rsidRPr="00DF2951">
        <w:rPr>
          <w:i/>
          <w:iCs/>
          <w:sz w:val="18"/>
          <w:szCs w:val="18"/>
          <w:lang w:val="en-US"/>
        </w:rPr>
        <w:t>The significant effect of endometriosis on physical, mental and social wellbeing: results from an international cross-sectional survey</w:t>
      </w:r>
      <w:r w:rsidRPr="00DF2951">
        <w:rPr>
          <w:sz w:val="18"/>
          <w:szCs w:val="18"/>
          <w:lang w:val="en-US"/>
        </w:rPr>
        <w:t xml:space="preserve">. Hum Reprod. </w:t>
      </w:r>
      <w:r w:rsidRPr="00DF2951">
        <w:rPr>
          <w:b/>
          <w:bCs/>
          <w:sz w:val="18"/>
          <w:szCs w:val="18"/>
          <w:lang w:val="en-US"/>
        </w:rPr>
        <w:t>2013</w:t>
      </w:r>
      <w:r w:rsidRPr="00DF2951">
        <w:rPr>
          <w:sz w:val="18"/>
          <w:szCs w:val="18"/>
          <w:lang w:val="en-US"/>
        </w:rPr>
        <w:t xml:space="preserve"> Oct;28(10):2677-85. doi: 10.1093/humrep/det284. Epub 2013 Jul 11. PMID: 23847114.</w:t>
      </w:r>
    </w:p>
    <w:p w14:paraId="71CE7B20" w14:textId="77777777" w:rsidR="00327D07" w:rsidRPr="00DF2951" w:rsidRDefault="00327D07" w:rsidP="00DF2951">
      <w:pPr>
        <w:pStyle w:val="Testonotadichiusura"/>
        <w:jc w:val="both"/>
        <w:rPr>
          <w:sz w:val="18"/>
          <w:szCs w:val="18"/>
          <w:lang w:val="en-US"/>
        </w:rPr>
      </w:pPr>
    </w:p>
  </w:endnote>
  <w:endnote w:id="234">
    <w:p w14:paraId="75FEE6E0" w14:textId="72B0EE56" w:rsidR="00327D07" w:rsidRPr="00F07F5C" w:rsidRDefault="00327D07" w:rsidP="00F07F5C">
      <w:pPr>
        <w:pStyle w:val="Testonotadichiusura"/>
        <w:jc w:val="both"/>
        <w:rPr>
          <w:sz w:val="18"/>
          <w:szCs w:val="18"/>
          <w:lang w:val="en-US"/>
        </w:rPr>
      </w:pPr>
      <w:r w:rsidRPr="00DF2951">
        <w:rPr>
          <w:rStyle w:val="Rimandonotadichiusura"/>
          <w:sz w:val="18"/>
          <w:szCs w:val="18"/>
        </w:rPr>
        <w:endnoteRef/>
      </w:r>
      <w:r w:rsidRPr="00DF2951">
        <w:rPr>
          <w:sz w:val="18"/>
          <w:szCs w:val="18"/>
          <w:lang w:val="en-US"/>
        </w:rPr>
        <w:t xml:space="preserve"> Boehm JK, Chen Y, Williams DR, Ryff CD, Kubzansky LD. </w:t>
      </w:r>
      <w:r w:rsidRPr="00DF2951">
        <w:rPr>
          <w:i/>
          <w:iCs/>
          <w:sz w:val="18"/>
          <w:szCs w:val="18"/>
          <w:lang w:val="en-US"/>
        </w:rPr>
        <w:t>Subjective well-being and cardiometabolic health: An 8-11year study of midlife adults.</w:t>
      </w:r>
      <w:r w:rsidRPr="00DF2951">
        <w:rPr>
          <w:sz w:val="18"/>
          <w:szCs w:val="18"/>
          <w:lang w:val="en-US"/>
        </w:rPr>
        <w:t xml:space="preserve"> J Psychosom Res. </w:t>
      </w:r>
      <w:r w:rsidRPr="00DF2951">
        <w:rPr>
          <w:b/>
          <w:bCs/>
          <w:sz w:val="18"/>
          <w:szCs w:val="18"/>
          <w:lang w:val="en-US"/>
        </w:rPr>
        <w:t>2016</w:t>
      </w:r>
      <w:r w:rsidRPr="00DF2951">
        <w:rPr>
          <w:sz w:val="18"/>
          <w:szCs w:val="18"/>
          <w:lang w:val="en-US"/>
        </w:rPr>
        <w:t xml:space="preserve"> Jun;85:1-8. doi: 10.1016/j.jpsychores.2016.03.018. Epub 2016 Mar 29. PMID: </w:t>
      </w:r>
      <w:r w:rsidRPr="00F07F5C">
        <w:rPr>
          <w:sz w:val="18"/>
          <w:szCs w:val="18"/>
          <w:lang w:val="en-US"/>
        </w:rPr>
        <w:t>27212662; PMCID: PMC4889157.</w:t>
      </w:r>
    </w:p>
    <w:p w14:paraId="6DC9D9D9" w14:textId="77777777" w:rsidR="00327D07" w:rsidRPr="00F07F5C" w:rsidRDefault="00327D07" w:rsidP="00F07F5C">
      <w:pPr>
        <w:pStyle w:val="Testonotadichiusura"/>
        <w:jc w:val="both"/>
        <w:rPr>
          <w:sz w:val="18"/>
          <w:szCs w:val="18"/>
          <w:lang w:val="en-US"/>
        </w:rPr>
      </w:pPr>
    </w:p>
  </w:endnote>
  <w:endnote w:id="235">
    <w:p w14:paraId="523612B3" w14:textId="13D18CD9" w:rsidR="00327D07" w:rsidRPr="00F07F5C" w:rsidRDefault="00327D07"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Sepulcri Rde P, do Amaral VF. </w:t>
      </w:r>
      <w:r w:rsidRPr="00F07F5C">
        <w:rPr>
          <w:i/>
          <w:iCs/>
          <w:sz w:val="18"/>
          <w:szCs w:val="18"/>
          <w:lang w:val="en-US"/>
        </w:rPr>
        <w:t>Depressive symptoms, anxiety, and quality of life in women with pelvic endometriosis.</w:t>
      </w:r>
      <w:r w:rsidRPr="00F07F5C">
        <w:rPr>
          <w:sz w:val="18"/>
          <w:szCs w:val="18"/>
          <w:lang w:val="en-US"/>
        </w:rPr>
        <w:t xml:space="preserve"> Eur J Obstet Gynecol Reprod Biol. </w:t>
      </w:r>
      <w:r w:rsidRPr="00F07F5C">
        <w:rPr>
          <w:b/>
          <w:bCs/>
          <w:sz w:val="18"/>
          <w:szCs w:val="18"/>
          <w:lang w:val="en-US"/>
        </w:rPr>
        <w:t>2009</w:t>
      </w:r>
      <w:r w:rsidRPr="00F07F5C">
        <w:rPr>
          <w:sz w:val="18"/>
          <w:szCs w:val="18"/>
          <w:lang w:val="en-US"/>
        </w:rPr>
        <w:t xml:space="preserve"> Jan;142(1):53-6. doi: 10.1016/j.ejogrb.2008.09.003. Epub 2008 Nov 17. PMID: 19010584.</w:t>
      </w:r>
    </w:p>
    <w:p w14:paraId="6906DE8B" w14:textId="77777777" w:rsidR="00327D07" w:rsidRPr="00F07F5C" w:rsidRDefault="00327D07" w:rsidP="00F07F5C">
      <w:pPr>
        <w:pStyle w:val="Testonotadichiusura"/>
        <w:jc w:val="both"/>
        <w:rPr>
          <w:sz w:val="18"/>
          <w:szCs w:val="18"/>
          <w:lang w:val="en-US"/>
        </w:rPr>
      </w:pPr>
    </w:p>
  </w:endnote>
  <w:endnote w:id="236">
    <w:p w14:paraId="531BA465" w14:textId="34344F98" w:rsidR="00327D07" w:rsidRPr="00F07F5C" w:rsidRDefault="00327D07"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Carey ET, Till SR, As-Sanie S.</w:t>
      </w:r>
      <w:r w:rsidRPr="00F07F5C">
        <w:rPr>
          <w:i/>
          <w:iCs/>
          <w:sz w:val="18"/>
          <w:szCs w:val="18"/>
          <w:lang w:val="en-US"/>
        </w:rPr>
        <w:t>Pain catastrophizing and its relationship to quality of life in women with endometriosis</w:t>
      </w:r>
      <w:r w:rsidRPr="00F07F5C">
        <w:rPr>
          <w:sz w:val="18"/>
          <w:szCs w:val="18"/>
          <w:lang w:val="en-US"/>
        </w:rPr>
        <w:t xml:space="preserve">. Pain Medicine. </w:t>
      </w:r>
      <w:r w:rsidRPr="00F07F5C">
        <w:rPr>
          <w:b/>
          <w:bCs/>
          <w:sz w:val="18"/>
          <w:szCs w:val="18"/>
          <w:lang w:val="en-US"/>
        </w:rPr>
        <w:t>2014</w:t>
      </w:r>
      <w:r w:rsidRPr="00F07F5C">
        <w:rPr>
          <w:sz w:val="18"/>
          <w:szCs w:val="18"/>
          <w:lang w:val="en-US"/>
        </w:rPr>
        <w:t>;15(8):1261–1271.doi:10.1111/pme.12431PMID: 24825220</w:t>
      </w:r>
    </w:p>
    <w:p w14:paraId="68EF0233" w14:textId="77777777" w:rsidR="00327D07" w:rsidRPr="00F07F5C" w:rsidRDefault="00327D07" w:rsidP="00F07F5C">
      <w:pPr>
        <w:pStyle w:val="Testonotadichiusura"/>
        <w:jc w:val="both"/>
        <w:rPr>
          <w:sz w:val="18"/>
          <w:szCs w:val="18"/>
          <w:lang w:val="en-US"/>
        </w:rPr>
      </w:pPr>
    </w:p>
  </w:endnote>
  <w:endnote w:id="237">
    <w:p w14:paraId="4DD86EC9" w14:textId="6EE2AB6B" w:rsidR="00327D07" w:rsidRPr="00F07F5C" w:rsidRDefault="00327D07"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Sullivan MJ, Thorn B, Haythornthwaite JA, Keefe F, Martin M, Bradley LA, Lefebvre JC. </w:t>
      </w:r>
      <w:r w:rsidRPr="00F07F5C">
        <w:rPr>
          <w:i/>
          <w:iCs/>
          <w:sz w:val="18"/>
          <w:szCs w:val="18"/>
          <w:lang w:val="en-US"/>
        </w:rPr>
        <w:t xml:space="preserve">Theoretical perspectives on the relation between catastrophizing and pain. </w:t>
      </w:r>
      <w:r w:rsidRPr="00F07F5C">
        <w:rPr>
          <w:sz w:val="18"/>
          <w:szCs w:val="18"/>
          <w:lang w:val="en-US"/>
        </w:rPr>
        <w:t xml:space="preserve">Clin J Pain. </w:t>
      </w:r>
      <w:r w:rsidRPr="00F07F5C">
        <w:rPr>
          <w:b/>
          <w:bCs/>
          <w:sz w:val="18"/>
          <w:szCs w:val="18"/>
          <w:lang w:val="en-US"/>
        </w:rPr>
        <w:t>2001</w:t>
      </w:r>
      <w:r w:rsidRPr="00F07F5C">
        <w:rPr>
          <w:sz w:val="18"/>
          <w:szCs w:val="18"/>
          <w:lang w:val="en-US"/>
        </w:rPr>
        <w:t xml:space="preserve"> Mar;17(1):52-64. doi: 10.1097/00002508-200103000-00008. PMID: 11289089.</w:t>
      </w:r>
    </w:p>
    <w:p w14:paraId="509AC764" w14:textId="77777777" w:rsidR="00327D07" w:rsidRPr="00F07F5C" w:rsidRDefault="00327D07" w:rsidP="00F07F5C">
      <w:pPr>
        <w:pStyle w:val="Testonotadichiusura"/>
        <w:jc w:val="both"/>
        <w:rPr>
          <w:sz w:val="18"/>
          <w:szCs w:val="18"/>
          <w:lang w:val="en-US"/>
        </w:rPr>
      </w:pPr>
    </w:p>
  </w:endnote>
  <w:endnote w:id="238">
    <w:p w14:paraId="50155278" w14:textId="035F12CB" w:rsidR="008957C5"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National Guideline Alliance (UK). Endometriosis: diagnosis and management. London: National Institute for Health and Care Excellence (NICE); </w:t>
      </w:r>
      <w:r w:rsidRPr="00F07F5C">
        <w:rPr>
          <w:b/>
          <w:bCs/>
          <w:sz w:val="18"/>
          <w:szCs w:val="18"/>
          <w:lang w:val="en-US"/>
        </w:rPr>
        <w:t>2017</w:t>
      </w:r>
      <w:r w:rsidRPr="00F07F5C">
        <w:rPr>
          <w:sz w:val="18"/>
          <w:szCs w:val="18"/>
          <w:lang w:val="en-US"/>
        </w:rPr>
        <w:t xml:space="preserve"> Sep. PMID: 29787038.</w:t>
      </w:r>
    </w:p>
    <w:p w14:paraId="7CA26BAB" w14:textId="77777777" w:rsidR="00692004" w:rsidRPr="00F07F5C" w:rsidRDefault="00692004" w:rsidP="00F07F5C">
      <w:pPr>
        <w:pStyle w:val="Testonotadichiusura"/>
        <w:jc w:val="both"/>
        <w:rPr>
          <w:sz w:val="18"/>
          <w:szCs w:val="18"/>
          <w:lang w:val="en-US"/>
        </w:rPr>
      </w:pPr>
    </w:p>
  </w:endnote>
  <w:endnote w:id="239">
    <w:p w14:paraId="506214F8" w14:textId="147FBCBC"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Becker CM, Bokor A, Heikinheimo O, Horne A, Jansen F, Kiesel L, King K, Kvaskoff M, Nap A, Petersen K, Saridogan E, Tomassetti C, van Hanegem N, Vulliemoz N, Vermeulen N; ESHRE </w:t>
      </w:r>
      <w:r w:rsidRPr="00F07F5C">
        <w:rPr>
          <w:i/>
          <w:iCs/>
          <w:sz w:val="18"/>
          <w:szCs w:val="18"/>
          <w:lang w:val="en-US"/>
        </w:rPr>
        <w:t xml:space="preserve">Endometriosis Guideline Group. ESHRE guideline: endometriosis. </w:t>
      </w:r>
      <w:r w:rsidRPr="00F07F5C">
        <w:rPr>
          <w:sz w:val="18"/>
          <w:szCs w:val="18"/>
          <w:lang w:val="en-US"/>
        </w:rPr>
        <w:t xml:space="preserve">Hum Reprod Open. </w:t>
      </w:r>
      <w:r w:rsidRPr="00F07F5C">
        <w:rPr>
          <w:b/>
          <w:bCs/>
          <w:sz w:val="18"/>
          <w:szCs w:val="18"/>
          <w:lang w:val="en-US"/>
        </w:rPr>
        <w:t>2022</w:t>
      </w:r>
      <w:r w:rsidRPr="00F07F5C">
        <w:rPr>
          <w:sz w:val="18"/>
          <w:szCs w:val="18"/>
          <w:lang w:val="en-US"/>
        </w:rPr>
        <w:t xml:space="preserve"> Feb 26;2022(2):hoac009. doi: 10.1093/hropen/hoac009. PMID: 35350465; PMCID: PMC8951218.</w:t>
      </w:r>
    </w:p>
    <w:p w14:paraId="52188298" w14:textId="77777777" w:rsidR="008957C5" w:rsidRPr="00F07F5C" w:rsidRDefault="008957C5" w:rsidP="00F07F5C">
      <w:pPr>
        <w:pStyle w:val="Testonotadichiusura"/>
        <w:jc w:val="both"/>
        <w:rPr>
          <w:sz w:val="18"/>
          <w:szCs w:val="18"/>
          <w:lang w:val="en-US"/>
        </w:rPr>
      </w:pPr>
    </w:p>
  </w:endnote>
  <w:endnote w:id="240">
    <w:p w14:paraId="56216AC0" w14:textId="30516ECC"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Nnoaham KE, Hummelshoj L, Webster P, d'Hooghe T, de Cicco Nardone F, de Cicco Nardone C, Jenkinson C, Kennedy SH, Zondervan KT; </w:t>
      </w:r>
      <w:r w:rsidRPr="00F07F5C">
        <w:rPr>
          <w:i/>
          <w:iCs/>
          <w:sz w:val="18"/>
          <w:szCs w:val="18"/>
          <w:lang w:val="en-US"/>
        </w:rPr>
        <w:t>World Endometriosis Research Foundation Global Study of Women's Health consortium. Impact of endometriosis on quality of life and work productivity: a multicenter study across ten countries.</w:t>
      </w:r>
      <w:r w:rsidRPr="00F07F5C">
        <w:rPr>
          <w:sz w:val="18"/>
          <w:szCs w:val="18"/>
          <w:lang w:val="en-US"/>
        </w:rPr>
        <w:t xml:space="preserve"> Fertil Steril. </w:t>
      </w:r>
      <w:r w:rsidRPr="00F07F5C">
        <w:rPr>
          <w:b/>
          <w:bCs/>
          <w:sz w:val="18"/>
          <w:szCs w:val="18"/>
          <w:lang w:val="en-US"/>
        </w:rPr>
        <w:t>2011</w:t>
      </w:r>
      <w:r w:rsidRPr="00F07F5C">
        <w:rPr>
          <w:sz w:val="18"/>
          <w:szCs w:val="18"/>
          <w:lang w:val="en-US"/>
        </w:rPr>
        <w:t xml:space="preserve"> Aug;96(2):366-373.e8. doi: 10.1016/j.fertnstert.2011.05.090. Epub 2011 Jun 30. PMID: 21718982; PMCID: PMC3679489.</w:t>
      </w:r>
    </w:p>
    <w:p w14:paraId="5AE4DD66" w14:textId="77777777" w:rsidR="008957C5" w:rsidRPr="00F07F5C" w:rsidRDefault="008957C5" w:rsidP="00F07F5C">
      <w:pPr>
        <w:pStyle w:val="Testonotadichiusura"/>
        <w:jc w:val="both"/>
        <w:rPr>
          <w:sz w:val="18"/>
          <w:szCs w:val="18"/>
          <w:lang w:val="en-US"/>
        </w:rPr>
      </w:pPr>
    </w:p>
  </w:endnote>
  <w:endnote w:id="241">
    <w:p w14:paraId="3ECF7FB7" w14:textId="2C17D3A4"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Yilmaz BD, Bulun SE. </w:t>
      </w:r>
      <w:r w:rsidRPr="00F07F5C">
        <w:rPr>
          <w:i/>
          <w:iCs/>
          <w:sz w:val="18"/>
          <w:szCs w:val="18"/>
          <w:lang w:val="en-US"/>
        </w:rPr>
        <w:t>Endometriosis and nuclear receptors.</w:t>
      </w:r>
      <w:r w:rsidRPr="00F07F5C">
        <w:rPr>
          <w:sz w:val="18"/>
          <w:szCs w:val="18"/>
          <w:lang w:val="en-US"/>
        </w:rPr>
        <w:t xml:space="preserve"> Hum Reprod Update. </w:t>
      </w:r>
      <w:r w:rsidRPr="00F07F5C">
        <w:rPr>
          <w:b/>
          <w:bCs/>
          <w:sz w:val="18"/>
          <w:szCs w:val="18"/>
          <w:lang w:val="en-US"/>
        </w:rPr>
        <w:t>2019</w:t>
      </w:r>
      <w:r w:rsidRPr="00F07F5C">
        <w:rPr>
          <w:sz w:val="18"/>
          <w:szCs w:val="18"/>
          <w:lang w:val="en-US"/>
        </w:rPr>
        <w:t xml:space="preserve"> Jul 1;25(4):473-485. doi: 10.1093/humupd/dmz005. PMID: 30809650; PMCID: PMC6601390.</w:t>
      </w:r>
    </w:p>
    <w:p w14:paraId="598D3958" w14:textId="77777777" w:rsidR="008957C5" w:rsidRPr="00F07F5C" w:rsidRDefault="008957C5" w:rsidP="00F07F5C">
      <w:pPr>
        <w:pStyle w:val="Testonotadichiusura"/>
        <w:jc w:val="both"/>
        <w:rPr>
          <w:sz w:val="18"/>
          <w:szCs w:val="18"/>
          <w:lang w:val="en-US"/>
        </w:rPr>
      </w:pPr>
    </w:p>
  </w:endnote>
  <w:endnote w:id="242">
    <w:p w14:paraId="060ACAEF" w14:textId="4F72FF1E"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Ballard KD, Seaman HE, de Vries CS, Wright JT. </w:t>
      </w:r>
      <w:r w:rsidRPr="00F07F5C">
        <w:rPr>
          <w:i/>
          <w:iCs/>
          <w:sz w:val="18"/>
          <w:szCs w:val="18"/>
          <w:lang w:val="en-US"/>
        </w:rPr>
        <w:t>Can symptomatology help in the diagnosis of endometriosis? Findings from a national case-control study--</w:t>
      </w:r>
      <w:r w:rsidRPr="00F07F5C">
        <w:rPr>
          <w:sz w:val="18"/>
          <w:szCs w:val="18"/>
          <w:lang w:val="en-US"/>
        </w:rPr>
        <w:t xml:space="preserve">Part 1. BJOG. </w:t>
      </w:r>
      <w:r w:rsidRPr="00F07F5C">
        <w:rPr>
          <w:b/>
          <w:bCs/>
          <w:sz w:val="18"/>
          <w:szCs w:val="18"/>
          <w:lang w:val="en-US"/>
        </w:rPr>
        <w:t>2008</w:t>
      </w:r>
      <w:r w:rsidRPr="00F07F5C">
        <w:rPr>
          <w:sz w:val="18"/>
          <w:szCs w:val="18"/>
          <w:lang w:val="en-US"/>
        </w:rPr>
        <w:t xml:space="preserve"> Oct;115(11):1382-91. doi: 10.1111/j.1471-0528.2008.01878.x. Epub 2008 Aug 19. PMID: 18715240.</w:t>
      </w:r>
    </w:p>
    <w:p w14:paraId="2BDC7BE4" w14:textId="77777777" w:rsidR="008957C5" w:rsidRPr="008957C5" w:rsidRDefault="008957C5">
      <w:pPr>
        <w:pStyle w:val="Testonotadichiusura"/>
        <w:rPr>
          <w:lang w:val="en-US"/>
        </w:rPr>
      </w:pPr>
    </w:p>
  </w:endnote>
  <w:endnote w:id="243">
    <w:p w14:paraId="4F729A9C" w14:textId="03AC8F7C" w:rsidR="008957C5" w:rsidRPr="00F07F5C" w:rsidRDefault="008957C5" w:rsidP="00F07F5C">
      <w:pPr>
        <w:pStyle w:val="Testonotadichiusura"/>
        <w:jc w:val="both"/>
        <w:rPr>
          <w:sz w:val="18"/>
          <w:szCs w:val="18"/>
          <w:lang w:val="en-US"/>
        </w:rPr>
      </w:pPr>
      <w:r>
        <w:rPr>
          <w:rStyle w:val="Rimandonotadichiusura"/>
        </w:rPr>
        <w:endnoteRef/>
      </w:r>
      <w:r w:rsidRPr="008957C5">
        <w:rPr>
          <w:lang w:val="en-US"/>
        </w:rPr>
        <w:t xml:space="preserve"> </w:t>
      </w:r>
      <w:r w:rsidRPr="00F07F5C">
        <w:rPr>
          <w:sz w:val="18"/>
          <w:szCs w:val="18"/>
          <w:lang w:val="en-US"/>
        </w:rPr>
        <w:t xml:space="preserve">Janssen EB, Rijkers AC, Hoppenbrouwers K, Meuleman C, D'Hooghe TM. </w:t>
      </w:r>
      <w:r w:rsidRPr="00F07F5C">
        <w:rPr>
          <w:i/>
          <w:iCs/>
          <w:sz w:val="18"/>
          <w:szCs w:val="18"/>
          <w:lang w:val="en-US"/>
        </w:rPr>
        <w:t>Prevalence of endometriosis diagnosed by laparoscopy in adolescents with dysmenorrhea or chronic pelvic pain: a systematic review.</w:t>
      </w:r>
      <w:r w:rsidRPr="00F07F5C">
        <w:rPr>
          <w:sz w:val="18"/>
          <w:szCs w:val="18"/>
          <w:lang w:val="en-US"/>
        </w:rPr>
        <w:t xml:space="preserve"> Hum Reprod Update. </w:t>
      </w:r>
      <w:r w:rsidRPr="00F07F5C">
        <w:rPr>
          <w:b/>
          <w:bCs/>
          <w:sz w:val="18"/>
          <w:szCs w:val="18"/>
          <w:lang w:val="en-US"/>
        </w:rPr>
        <w:t>2013</w:t>
      </w:r>
      <w:r w:rsidRPr="00F07F5C">
        <w:rPr>
          <w:sz w:val="18"/>
          <w:szCs w:val="18"/>
          <w:lang w:val="en-US"/>
        </w:rPr>
        <w:t xml:space="preserve"> Sep-Oct;19(5):570-82. doi: 10.1093/humupd/dmt016. Epub 2013 May 31. PMID: 23727940.</w:t>
      </w:r>
    </w:p>
    <w:p w14:paraId="1FA9CF9B" w14:textId="77777777" w:rsidR="008957C5" w:rsidRPr="00F07F5C" w:rsidRDefault="008957C5" w:rsidP="00F07F5C">
      <w:pPr>
        <w:pStyle w:val="Testonotadichiusura"/>
        <w:jc w:val="both"/>
        <w:rPr>
          <w:sz w:val="18"/>
          <w:szCs w:val="18"/>
          <w:lang w:val="en-US"/>
        </w:rPr>
      </w:pPr>
    </w:p>
  </w:endnote>
  <w:endnote w:id="244">
    <w:p w14:paraId="65C3D534" w14:textId="58ACD0B8"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Bazot M, Daraï E. </w:t>
      </w:r>
      <w:r w:rsidRPr="00F07F5C">
        <w:rPr>
          <w:i/>
          <w:iCs/>
          <w:sz w:val="18"/>
          <w:szCs w:val="18"/>
          <w:lang w:val="en-US"/>
        </w:rPr>
        <w:t>Diagnosis of deep endometriosis: clinical examination, ultrasonography, magnetic resonance imaging, and other techniques.</w:t>
      </w:r>
      <w:r w:rsidRPr="00F07F5C">
        <w:rPr>
          <w:sz w:val="18"/>
          <w:szCs w:val="18"/>
          <w:lang w:val="en-US"/>
        </w:rPr>
        <w:t xml:space="preserve"> Fertil Steril. </w:t>
      </w:r>
      <w:r w:rsidRPr="00F07F5C">
        <w:rPr>
          <w:b/>
          <w:bCs/>
          <w:sz w:val="18"/>
          <w:szCs w:val="18"/>
          <w:lang w:val="en-US"/>
        </w:rPr>
        <w:t>2017</w:t>
      </w:r>
      <w:r w:rsidRPr="00F07F5C">
        <w:rPr>
          <w:sz w:val="18"/>
          <w:szCs w:val="18"/>
          <w:lang w:val="en-US"/>
        </w:rPr>
        <w:t xml:space="preserve"> Dec;108(6):886-894. doi: 10.1016/j.fertnstert.2017.10.026. PMID: 29202963.</w:t>
      </w:r>
    </w:p>
    <w:p w14:paraId="41542468" w14:textId="77777777" w:rsidR="008957C5" w:rsidRPr="00F07F5C" w:rsidRDefault="008957C5" w:rsidP="00F07F5C">
      <w:pPr>
        <w:pStyle w:val="Testonotadichiusura"/>
        <w:jc w:val="both"/>
        <w:rPr>
          <w:sz w:val="18"/>
          <w:szCs w:val="18"/>
          <w:lang w:val="en-US"/>
        </w:rPr>
      </w:pPr>
    </w:p>
  </w:endnote>
  <w:endnote w:id="245">
    <w:p w14:paraId="45574171" w14:textId="79A9E300"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Guerriero S, Condous G, van den Bosch T, Valentin L, Leone FP, Van Schoubroeck D, Exacoustos C, Installé AJ, Martins WP, Abrao MS, Hudelist G, Bazot M, Alcazar JL, Gonçalves MO, Pascual MA, Ajossa S, Savelli L, Dunham R, Reid S, Menakaya U, Bourne T, Ferrero S, Leon M, Bignardi T, Holland T, Jurkovic D, Benacerraf B, Osuga Y, Somigliana E, Timmerman D. </w:t>
      </w:r>
      <w:r w:rsidRPr="00F07F5C">
        <w:rPr>
          <w:i/>
          <w:iCs/>
          <w:sz w:val="18"/>
          <w:szCs w:val="18"/>
          <w:lang w:val="en-US"/>
        </w:rPr>
        <w:t>Systematic approach to sonographic evaluation of the pelvis in women with suspected endometriosis, including terms, definitions and measurements: a consensus opinion from the International Deep Endometriosis Analysis (IDEA) group</w:t>
      </w:r>
      <w:r w:rsidRPr="00F07F5C">
        <w:rPr>
          <w:sz w:val="18"/>
          <w:szCs w:val="18"/>
          <w:lang w:val="en-US"/>
        </w:rPr>
        <w:t xml:space="preserve">. Ultrasound Obstet Gynecol. </w:t>
      </w:r>
      <w:r w:rsidRPr="00F07F5C">
        <w:rPr>
          <w:b/>
          <w:bCs/>
          <w:sz w:val="18"/>
          <w:szCs w:val="18"/>
          <w:lang w:val="en-US"/>
        </w:rPr>
        <w:t>2016</w:t>
      </w:r>
      <w:r w:rsidRPr="00F07F5C">
        <w:rPr>
          <w:sz w:val="18"/>
          <w:szCs w:val="18"/>
          <w:lang w:val="en-US"/>
        </w:rPr>
        <w:t xml:space="preserve"> Sep;48(3):318-32. doi: 10.1002/uog.15955. Epub 2016 Jun 28. PMID: 27349699. </w:t>
      </w:r>
    </w:p>
    <w:p w14:paraId="2B01AC13" w14:textId="77777777" w:rsidR="008957C5" w:rsidRPr="00F07F5C" w:rsidRDefault="008957C5" w:rsidP="00F07F5C">
      <w:pPr>
        <w:pStyle w:val="Testonotadichiusura"/>
        <w:jc w:val="both"/>
        <w:rPr>
          <w:sz w:val="18"/>
          <w:szCs w:val="18"/>
          <w:lang w:val="en-US"/>
        </w:rPr>
      </w:pPr>
    </w:p>
  </w:endnote>
  <w:endnote w:id="246">
    <w:p w14:paraId="6F4BD709" w14:textId="3702146C" w:rsidR="008957C5" w:rsidRPr="00F07F5C" w:rsidRDefault="008957C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Nisenblat V, Bossuyt PM, Farquhar C, Johnson N, Hull ML. Imaging modalities for the non-invasive diagnosis of endometriosis. Cochrane Database Syst Rev. </w:t>
      </w:r>
      <w:r w:rsidRPr="00F07F5C">
        <w:rPr>
          <w:b/>
          <w:bCs/>
          <w:sz w:val="18"/>
          <w:szCs w:val="18"/>
          <w:lang w:val="en-US"/>
        </w:rPr>
        <w:t>2016</w:t>
      </w:r>
      <w:r w:rsidRPr="00F07F5C">
        <w:rPr>
          <w:sz w:val="18"/>
          <w:szCs w:val="18"/>
          <w:lang w:val="en-US"/>
        </w:rPr>
        <w:t xml:space="preserve"> Feb 26;2(2):CD009591. doi: 10.1002/14651858.CD009591.pub2. PMID: 26919512; PMCID: PMC7100540.</w:t>
      </w:r>
    </w:p>
    <w:p w14:paraId="2547489D" w14:textId="77777777" w:rsidR="008957C5" w:rsidRPr="00F07F5C" w:rsidRDefault="008957C5" w:rsidP="00F07F5C">
      <w:pPr>
        <w:pStyle w:val="Testonotadichiusura"/>
        <w:jc w:val="both"/>
        <w:rPr>
          <w:sz w:val="18"/>
          <w:szCs w:val="18"/>
          <w:lang w:val="en-US"/>
        </w:rPr>
      </w:pPr>
    </w:p>
  </w:endnote>
  <w:endnote w:id="247">
    <w:p w14:paraId="3882CF14" w14:textId="3B87EA5F" w:rsidR="003E5095" w:rsidRPr="00F07F5C" w:rsidRDefault="003E5095" w:rsidP="00F07F5C">
      <w:pPr>
        <w:pStyle w:val="Testonotadichiusura"/>
        <w:jc w:val="both"/>
        <w:rPr>
          <w:sz w:val="18"/>
          <w:szCs w:val="18"/>
          <w:lang w:val="en-US"/>
        </w:rPr>
      </w:pPr>
      <w:r w:rsidRPr="00F07F5C">
        <w:rPr>
          <w:rStyle w:val="Rimandonotadichiusura"/>
          <w:sz w:val="18"/>
          <w:szCs w:val="18"/>
        </w:rPr>
        <w:endnoteRef/>
      </w:r>
      <w:r w:rsidRPr="00F07F5C">
        <w:rPr>
          <w:sz w:val="18"/>
          <w:szCs w:val="18"/>
        </w:rPr>
        <w:t xml:space="preserve"> Guerriero S, Saba L, Pascual MA, Ajossa S, Rodriguez I, Mais V, Alcazar JL. </w:t>
      </w:r>
      <w:r w:rsidRPr="00F07F5C">
        <w:rPr>
          <w:i/>
          <w:iCs/>
          <w:sz w:val="18"/>
          <w:szCs w:val="18"/>
          <w:lang w:val="en-US"/>
        </w:rPr>
        <w:t xml:space="preserve">Transvaginal ultrasound vs magnetic resonance imaging for diagnosing deep infiltrating endometriosis: systematic review and meta-analysis. Ultrasound Obstet Gynecol. </w:t>
      </w:r>
      <w:r w:rsidRPr="00F07F5C">
        <w:rPr>
          <w:b/>
          <w:bCs/>
          <w:sz w:val="18"/>
          <w:szCs w:val="18"/>
          <w:lang w:val="en-US"/>
        </w:rPr>
        <w:t>2018</w:t>
      </w:r>
      <w:r w:rsidRPr="00F07F5C">
        <w:rPr>
          <w:sz w:val="18"/>
          <w:szCs w:val="18"/>
          <w:lang w:val="en-US"/>
        </w:rPr>
        <w:t xml:space="preserve"> May;51(5):586-595. doi: 10.1002/uog.18961. PMID: 29154402.</w:t>
      </w:r>
    </w:p>
    <w:p w14:paraId="59DF9E9B" w14:textId="77777777" w:rsidR="003E5095" w:rsidRPr="00F07F5C" w:rsidRDefault="003E5095" w:rsidP="00F07F5C">
      <w:pPr>
        <w:pStyle w:val="Testonotadichiusura"/>
        <w:jc w:val="both"/>
        <w:rPr>
          <w:sz w:val="18"/>
          <w:szCs w:val="18"/>
          <w:lang w:val="en-US"/>
        </w:rPr>
      </w:pPr>
    </w:p>
  </w:endnote>
  <w:endnote w:id="248">
    <w:p w14:paraId="2B2EA93C" w14:textId="1401DEC5" w:rsidR="003E5095" w:rsidRPr="00F07F5C" w:rsidRDefault="003E5095" w:rsidP="00F07F5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Hudelist G, English J, Thomas AE, Tinelli A, Singer CF, Keckstein J. </w:t>
      </w:r>
      <w:r w:rsidRPr="00F07F5C">
        <w:rPr>
          <w:i/>
          <w:iCs/>
          <w:sz w:val="18"/>
          <w:szCs w:val="18"/>
          <w:lang w:val="en-US"/>
        </w:rPr>
        <w:t>Diagnostic accuracy of transvaginal ultrasound for non-invasive diagnosis of bowel endometriosis: systematic review and meta-analysis</w:t>
      </w:r>
      <w:r w:rsidRPr="00F07F5C">
        <w:rPr>
          <w:sz w:val="18"/>
          <w:szCs w:val="18"/>
          <w:lang w:val="en-US"/>
        </w:rPr>
        <w:t xml:space="preserve">. Ultrasound Obstet Gynecol. </w:t>
      </w:r>
      <w:r w:rsidRPr="00F07F5C">
        <w:rPr>
          <w:b/>
          <w:bCs/>
          <w:sz w:val="18"/>
          <w:szCs w:val="18"/>
          <w:lang w:val="en-US"/>
        </w:rPr>
        <w:t>2011</w:t>
      </w:r>
      <w:r w:rsidRPr="00F07F5C">
        <w:rPr>
          <w:sz w:val="18"/>
          <w:szCs w:val="18"/>
          <w:lang w:val="en-US"/>
        </w:rPr>
        <w:t xml:space="preserve"> Mar;37(3):257-63. doi: 10.1002/uog.8858. PMID: 20954166.</w:t>
      </w:r>
    </w:p>
    <w:p w14:paraId="60C1E784" w14:textId="77777777" w:rsidR="003E5095" w:rsidRPr="00F07F5C" w:rsidRDefault="003E5095" w:rsidP="00F07F5C">
      <w:pPr>
        <w:pStyle w:val="Testonotadichiusura"/>
        <w:jc w:val="both"/>
        <w:rPr>
          <w:sz w:val="18"/>
          <w:szCs w:val="18"/>
          <w:lang w:val="en-US"/>
        </w:rPr>
      </w:pPr>
    </w:p>
  </w:endnote>
  <w:endnote w:id="249">
    <w:p w14:paraId="18872947" w14:textId="4872598C" w:rsidR="003E5095" w:rsidRPr="00F07F5C" w:rsidRDefault="003E5095" w:rsidP="00656F3C">
      <w:pPr>
        <w:pStyle w:val="Testonotadichiusura"/>
        <w:jc w:val="both"/>
        <w:rPr>
          <w:sz w:val="18"/>
          <w:szCs w:val="18"/>
          <w:lang w:val="en-US"/>
        </w:rPr>
      </w:pPr>
      <w:r w:rsidRPr="00F07F5C">
        <w:rPr>
          <w:rStyle w:val="Rimandonotadichiusura"/>
          <w:sz w:val="18"/>
          <w:szCs w:val="18"/>
        </w:rPr>
        <w:endnoteRef/>
      </w:r>
      <w:r w:rsidRPr="00F07F5C">
        <w:rPr>
          <w:sz w:val="18"/>
          <w:szCs w:val="18"/>
          <w:lang w:val="en-US"/>
        </w:rPr>
        <w:t xml:space="preserve"> Bazot M, Darai E, Hourani R, Thomassin I, Cortez A, Uzan S, Buy JN. </w:t>
      </w:r>
      <w:r w:rsidRPr="00F07F5C">
        <w:rPr>
          <w:i/>
          <w:iCs/>
          <w:sz w:val="18"/>
          <w:szCs w:val="18"/>
          <w:lang w:val="en-US"/>
        </w:rPr>
        <w:t xml:space="preserve">Deep pelvic endometriosis: MR imaging for diagnosis and prediction of extension of disease. Radiology. </w:t>
      </w:r>
      <w:r w:rsidRPr="00F07F5C">
        <w:rPr>
          <w:b/>
          <w:bCs/>
          <w:sz w:val="18"/>
          <w:szCs w:val="18"/>
          <w:lang w:val="en-US"/>
        </w:rPr>
        <w:t>2004</w:t>
      </w:r>
      <w:r w:rsidRPr="00F07F5C">
        <w:rPr>
          <w:sz w:val="18"/>
          <w:szCs w:val="18"/>
          <w:lang w:val="en-US"/>
        </w:rPr>
        <w:t xml:space="preserve"> Aug;232(2):379-89. doi: 10.1148/radiol.2322030762. Epub 2004 Jun 17. PMID: 15205479.</w:t>
      </w:r>
    </w:p>
    <w:p w14:paraId="490A9538" w14:textId="77777777" w:rsidR="003E5095" w:rsidRPr="003E5095" w:rsidRDefault="003E5095" w:rsidP="00CE0200">
      <w:pPr>
        <w:pStyle w:val="Testonotadichiusura"/>
        <w:jc w:val="both"/>
        <w:rPr>
          <w:lang w:val="en-US"/>
        </w:rPr>
      </w:pPr>
    </w:p>
  </w:endnote>
  <w:endnote w:id="250">
    <w:p w14:paraId="484AD115" w14:textId="1D9F9663" w:rsidR="003E5095" w:rsidRPr="003E5095" w:rsidRDefault="003E5095" w:rsidP="00CE0200">
      <w:pPr>
        <w:pStyle w:val="Testonotadichiusura"/>
        <w:jc w:val="both"/>
        <w:rPr>
          <w:sz w:val="18"/>
          <w:szCs w:val="18"/>
          <w:lang w:val="en-US"/>
        </w:rPr>
      </w:pPr>
      <w:r>
        <w:rPr>
          <w:rStyle w:val="Rimandonotadichiusura"/>
        </w:rPr>
        <w:endnoteRef/>
      </w:r>
      <w:r w:rsidRPr="003E5095">
        <w:rPr>
          <w:lang w:val="en-US"/>
        </w:rPr>
        <w:t xml:space="preserve"> </w:t>
      </w:r>
      <w:r w:rsidRPr="003E5095">
        <w:rPr>
          <w:sz w:val="18"/>
          <w:szCs w:val="18"/>
          <w:lang w:val="en-US"/>
        </w:rPr>
        <w:t xml:space="preserve">Thomassin-Naggara I, Poncelet E, Jalaguier-Coudray A, Guerra A, Fournier LS, Stojanovic S, Millet I, Bharwani N, Juhan V, Cunha TM, Masselli G, Balleyguier C, Malhaire C, Perrot NF, Sadowski EA, Bazot M, Taourel P, Porcher R, Darai E, Reinhold C, Rockall AG. </w:t>
      </w:r>
      <w:r w:rsidRPr="003E5095">
        <w:rPr>
          <w:i/>
          <w:iCs/>
          <w:sz w:val="18"/>
          <w:szCs w:val="18"/>
          <w:lang w:val="en-US"/>
        </w:rPr>
        <w:t>Ovarian-Adnexal Reporting Data System Magnetic Resonance Imaging (O-RADS MRI) Score for Risk Stratification of Sonographically Indeterminate Adnexal Masses. JAMA Netw Open.</w:t>
      </w:r>
      <w:r w:rsidRPr="003E5095">
        <w:rPr>
          <w:sz w:val="18"/>
          <w:szCs w:val="18"/>
          <w:lang w:val="en-US"/>
        </w:rPr>
        <w:t xml:space="preserve"> </w:t>
      </w:r>
      <w:r w:rsidRPr="003E5095">
        <w:rPr>
          <w:b/>
          <w:bCs/>
          <w:sz w:val="18"/>
          <w:szCs w:val="18"/>
          <w:lang w:val="en-US"/>
        </w:rPr>
        <w:t>2020</w:t>
      </w:r>
      <w:r w:rsidRPr="003E5095">
        <w:rPr>
          <w:sz w:val="18"/>
          <w:szCs w:val="18"/>
          <w:lang w:val="en-US"/>
        </w:rPr>
        <w:t xml:space="preserve"> Jan 3;3(1):e1919896. doi: 10.1001/jamanetworkopen.2019.19896. PMID: 31977064; PMCID: PMC6991280.</w:t>
      </w:r>
    </w:p>
    <w:p w14:paraId="0B5C4AC0" w14:textId="77777777" w:rsidR="003E5095" w:rsidRPr="003E5095" w:rsidRDefault="003E5095" w:rsidP="00CE0200">
      <w:pPr>
        <w:pStyle w:val="Testonotadichiusura"/>
        <w:jc w:val="both"/>
        <w:rPr>
          <w:lang w:val="en-US"/>
        </w:rPr>
      </w:pPr>
    </w:p>
  </w:endnote>
  <w:endnote w:id="251">
    <w:p w14:paraId="34624BD3" w14:textId="53F53AFB" w:rsidR="003E5095" w:rsidRPr="00BD122B" w:rsidRDefault="003E5095" w:rsidP="00CE0200">
      <w:pPr>
        <w:pStyle w:val="Testonotadichiusura"/>
        <w:jc w:val="both"/>
        <w:rPr>
          <w:lang w:val="en-US"/>
        </w:rPr>
      </w:pPr>
      <w:r>
        <w:rPr>
          <w:rStyle w:val="Rimandonotadichiusura"/>
        </w:rPr>
        <w:endnoteRef/>
      </w:r>
      <w:r w:rsidRPr="003E5095">
        <w:rPr>
          <w:lang w:val="en-US"/>
        </w:rPr>
        <w:t xml:space="preserve"> </w:t>
      </w:r>
      <w:r w:rsidRPr="003E5095">
        <w:rPr>
          <w:sz w:val="18"/>
          <w:szCs w:val="18"/>
          <w:lang w:val="en-US"/>
        </w:rPr>
        <w:t xml:space="preserve">Yamada I, Aung W, Himeno Y, Nakagawa T, Shibuya H. </w:t>
      </w:r>
      <w:r w:rsidRPr="003E5095">
        <w:rPr>
          <w:i/>
          <w:iCs/>
          <w:sz w:val="18"/>
          <w:szCs w:val="18"/>
          <w:lang w:val="en-US"/>
        </w:rPr>
        <w:t>Diffusion coefficients in abdominal organs and hepatic lesions: evaluation with intravoxel incoherent motion echo-planar MR imaging</w:t>
      </w:r>
      <w:r w:rsidRPr="003E5095">
        <w:rPr>
          <w:sz w:val="18"/>
          <w:szCs w:val="18"/>
          <w:lang w:val="en-US"/>
        </w:rPr>
        <w:t xml:space="preserve">. </w:t>
      </w:r>
      <w:r w:rsidRPr="00BD122B">
        <w:rPr>
          <w:sz w:val="18"/>
          <w:szCs w:val="18"/>
          <w:lang w:val="en-US"/>
        </w:rPr>
        <w:t xml:space="preserve">Radiology. </w:t>
      </w:r>
      <w:r w:rsidRPr="00BD122B">
        <w:rPr>
          <w:b/>
          <w:bCs/>
          <w:sz w:val="18"/>
          <w:szCs w:val="18"/>
          <w:lang w:val="en-US"/>
        </w:rPr>
        <w:t>1999</w:t>
      </w:r>
      <w:r w:rsidRPr="00BD122B">
        <w:rPr>
          <w:sz w:val="18"/>
          <w:szCs w:val="18"/>
          <w:lang w:val="en-US"/>
        </w:rPr>
        <w:t xml:space="preserve"> Mar;210(3):617-23. doi: 10.1148/radiology.210.3.r99fe17617. PMID: 10207458.</w:t>
      </w:r>
    </w:p>
    <w:p w14:paraId="33619C95" w14:textId="77777777" w:rsidR="003E5095" w:rsidRPr="003E5095" w:rsidRDefault="003E5095" w:rsidP="00CE0200">
      <w:pPr>
        <w:pStyle w:val="Testonotadichiusura"/>
        <w:jc w:val="both"/>
        <w:rPr>
          <w:lang w:val="en-US"/>
        </w:rPr>
      </w:pPr>
    </w:p>
  </w:endnote>
  <w:endnote w:id="252">
    <w:p w14:paraId="5112D3AC" w14:textId="77E2F33E" w:rsidR="003E5095" w:rsidRPr="003E5095" w:rsidRDefault="003E5095" w:rsidP="00CE0200">
      <w:pPr>
        <w:pStyle w:val="Testonotadichiusura"/>
        <w:jc w:val="both"/>
        <w:rPr>
          <w:lang w:val="en-US"/>
        </w:rPr>
      </w:pPr>
      <w:r>
        <w:rPr>
          <w:rStyle w:val="Rimandonotadichiusura"/>
        </w:rPr>
        <w:endnoteRef/>
      </w:r>
      <w:r w:rsidRPr="003E5095">
        <w:rPr>
          <w:lang w:val="en-US"/>
        </w:rPr>
        <w:t xml:space="preserve"> </w:t>
      </w:r>
      <w:r w:rsidRPr="003E5095">
        <w:rPr>
          <w:sz w:val="18"/>
          <w:szCs w:val="18"/>
          <w:lang w:val="en-US"/>
        </w:rPr>
        <w:t xml:space="preserve">Daniilidis A, Grigoriadis G, Kalaitzopoulos DR, Angioni S, Kalkan Ü, Crestani A, Merlot B, Roman H. Surgical </w:t>
      </w:r>
      <w:r w:rsidRPr="003E5095">
        <w:rPr>
          <w:i/>
          <w:iCs/>
          <w:sz w:val="18"/>
          <w:szCs w:val="18"/>
          <w:lang w:val="en-US"/>
        </w:rPr>
        <w:t>Management of Ovarian Endometrioma: Impact on Ovarian Reserve Parameters and Reproductive Outcomes</w:t>
      </w:r>
      <w:r w:rsidRPr="003E5095">
        <w:rPr>
          <w:sz w:val="18"/>
          <w:szCs w:val="18"/>
          <w:lang w:val="en-US"/>
        </w:rPr>
        <w:t xml:space="preserve">. J Clin Med. </w:t>
      </w:r>
      <w:r w:rsidRPr="003E5095">
        <w:rPr>
          <w:b/>
          <w:bCs/>
          <w:sz w:val="18"/>
          <w:szCs w:val="18"/>
          <w:lang w:val="en-US"/>
        </w:rPr>
        <w:t>2023</w:t>
      </w:r>
      <w:r w:rsidRPr="003E5095">
        <w:rPr>
          <w:sz w:val="18"/>
          <w:szCs w:val="18"/>
          <w:lang w:val="en-US"/>
        </w:rPr>
        <w:t xml:space="preserve"> Aug 16;12(16):5324. doi: 10.3390/jcm12165324. PMID: 37629367; PMCID: PMC10455819.</w:t>
      </w:r>
    </w:p>
    <w:p w14:paraId="19D56AC5" w14:textId="77777777" w:rsidR="003E5095" w:rsidRPr="003E5095" w:rsidRDefault="003E5095" w:rsidP="00CE0200">
      <w:pPr>
        <w:pStyle w:val="Testonotadichiusura"/>
        <w:jc w:val="both"/>
        <w:rPr>
          <w:lang w:val="en-US"/>
        </w:rPr>
      </w:pPr>
    </w:p>
  </w:endnote>
  <w:endnote w:id="253">
    <w:p w14:paraId="6F863F9C" w14:textId="77777777" w:rsidR="00AB45E6" w:rsidRPr="00CE0200" w:rsidRDefault="00AB45E6" w:rsidP="00AB45E6">
      <w:pPr>
        <w:pStyle w:val="Testonotadichiusura"/>
        <w:jc w:val="both"/>
        <w:rPr>
          <w:sz w:val="18"/>
          <w:szCs w:val="18"/>
          <w:lang w:val="en-US"/>
        </w:rPr>
      </w:pPr>
      <w:r w:rsidRPr="00CE0200">
        <w:rPr>
          <w:rStyle w:val="Rimandonotadichiusura"/>
          <w:sz w:val="18"/>
          <w:szCs w:val="18"/>
        </w:rPr>
        <w:endnoteRef/>
      </w:r>
      <w:r w:rsidRPr="00CE0200">
        <w:rPr>
          <w:sz w:val="18"/>
          <w:szCs w:val="18"/>
          <w:lang w:val="en-US"/>
        </w:rPr>
        <w:t xml:space="preserve"> Dunselman GA, Vermeulen N, Becker C, Calhaz-Jorge C, D'Hooghe T, De Bie B, Heikinheimo O, Horne AW, Kiesel L, Nap A, Prentice A, Saridogan E, Soriano D, Nelen W; </w:t>
      </w:r>
      <w:r w:rsidRPr="00CE0200">
        <w:rPr>
          <w:i/>
          <w:iCs/>
          <w:sz w:val="18"/>
          <w:szCs w:val="18"/>
          <w:lang w:val="en-US"/>
        </w:rPr>
        <w:t>European Society of Human Reproduction and Embryology. ESHRE guideline: management of women with endometriosis.</w:t>
      </w:r>
      <w:r w:rsidRPr="00CE0200">
        <w:rPr>
          <w:sz w:val="18"/>
          <w:szCs w:val="18"/>
          <w:lang w:val="en-US"/>
        </w:rPr>
        <w:t xml:space="preserve"> Hum Reprod. 2014 Mar;29(3):400-12. doi: 10.1093/humrep/det457. Epub </w:t>
      </w:r>
      <w:r w:rsidRPr="00CE0200">
        <w:rPr>
          <w:b/>
          <w:bCs/>
          <w:sz w:val="18"/>
          <w:szCs w:val="18"/>
          <w:lang w:val="en-US"/>
        </w:rPr>
        <w:t>2014</w:t>
      </w:r>
      <w:r w:rsidRPr="00CE0200">
        <w:rPr>
          <w:sz w:val="18"/>
          <w:szCs w:val="18"/>
          <w:lang w:val="en-US"/>
        </w:rPr>
        <w:t xml:space="preserve"> Jan 15. PMID: 24435778.</w:t>
      </w:r>
    </w:p>
    <w:p w14:paraId="0C433A23" w14:textId="77777777" w:rsidR="00AB45E6" w:rsidRPr="00CE0200" w:rsidRDefault="00AB45E6" w:rsidP="00AB45E6">
      <w:pPr>
        <w:pStyle w:val="Testonotadichiusura"/>
        <w:jc w:val="both"/>
        <w:rPr>
          <w:sz w:val="18"/>
          <w:szCs w:val="18"/>
          <w:lang w:val="en-US"/>
        </w:rPr>
      </w:pPr>
    </w:p>
  </w:endnote>
  <w:endnote w:id="254">
    <w:p w14:paraId="002C7874" w14:textId="77777777" w:rsidR="00AB45E6" w:rsidRPr="00CE0200" w:rsidRDefault="00AB45E6" w:rsidP="00AB45E6">
      <w:pPr>
        <w:pStyle w:val="Testonotadichiusura"/>
        <w:jc w:val="both"/>
        <w:rPr>
          <w:sz w:val="18"/>
          <w:szCs w:val="18"/>
          <w:lang w:val="en-US"/>
        </w:rPr>
      </w:pPr>
      <w:r>
        <w:rPr>
          <w:rStyle w:val="Rimandonotadichiusura"/>
        </w:rPr>
        <w:endnoteRef/>
      </w:r>
      <w:r w:rsidRPr="00CE0200">
        <w:rPr>
          <w:lang w:val="en-US"/>
        </w:rPr>
        <w:t xml:space="preserve"> </w:t>
      </w:r>
      <w:r w:rsidRPr="00CE0200">
        <w:rPr>
          <w:sz w:val="18"/>
          <w:szCs w:val="18"/>
          <w:lang w:val="en-US"/>
        </w:rPr>
        <w:t xml:space="preserve">Vodolazkaia A, El-Aalamat Y, Popovic D, Mihalyi A, Bossuyt X, Kyama CM, Fassbender A, Bokor A, Schols D, Huskens D, Meuleman C, Peeraer K, Tomassetti C, Gevaert O, Waelkens E, Kasran A, De Moor B, D'Hooghe TM. </w:t>
      </w:r>
      <w:r w:rsidRPr="00CE0200">
        <w:rPr>
          <w:i/>
          <w:iCs/>
          <w:sz w:val="18"/>
          <w:szCs w:val="18"/>
          <w:lang w:val="en-US"/>
        </w:rPr>
        <w:t xml:space="preserve">Evaluation of a panel of 28 biomarkers for the non-invasive diagnosis of endometriosis. </w:t>
      </w:r>
      <w:r w:rsidRPr="00CE0200">
        <w:rPr>
          <w:sz w:val="18"/>
          <w:szCs w:val="18"/>
          <w:lang w:val="en-US"/>
        </w:rPr>
        <w:t xml:space="preserve">Hum Reprod. </w:t>
      </w:r>
      <w:r w:rsidRPr="00CE0200">
        <w:rPr>
          <w:b/>
          <w:bCs/>
          <w:sz w:val="18"/>
          <w:szCs w:val="18"/>
          <w:lang w:val="en-US"/>
        </w:rPr>
        <w:t>2012</w:t>
      </w:r>
      <w:r w:rsidRPr="00CE0200">
        <w:rPr>
          <w:sz w:val="18"/>
          <w:szCs w:val="18"/>
          <w:lang w:val="en-US"/>
        </w:rPr>
        <w:t xml:space="preserve"> Sep;27(9):2698-711. doi: 10.1093/humrep/des234. Epub 2012 Jun 26. PMID: 22736326.</w:t>
      </w:r>
    </w:p>
    <w:p w14:paraId="4515A779" w14:textId="77777777" w:rsidR="00AB45E6" w:rsidRPr="00CE0200" w:rsidRDefault="00AB45E6" w:rsidP="00AB45E6">
      <w:pPr>
        <w:pStyle w:val="Testonotadichiusura"/>
        <w:jc w:val="both"/>
        <w:rPr>
          <w:sz w:val="18"/>
          <w:szCs w:val="18"/>
          <w:lang w:val="en-US"/>
        </w:rPr>
      </w:pPr>
    </w:p>
  </w:endnote>
  <w:endnote w:id="255">
    <w:p w14:paraId="6AC6A2AD" w14:textId="77777777" w:rsidR="00AB45E6" w:rsidRPr="00CE0200" w:rsidRDefault="00AB45E6" w:rsidP="00AB45E6">
      <w:pPr>
        <w:pStyle w:val="Testonotadichiusura"/>
        <w:jc w:val="both"/>
        <w:rPr>
          <w:sz w:val="18"/>
          <w:szCs w:val="18"/>
          <w:lang w:val="en-US"/>
        </w:rPr>
      </w:pPr>
      <w:r w:rsidRPr="00CE0200">
        <w:rPr>
          <w:rStyle w:val="Rimandonotadichiusura"/>
          <w:sz w:val="18"/>
          <w:szCs w:val="18"/>
        </w:rPr>
        <w:endnoteRef/>
      </w:r>
      <w:r w:rsidRPr="00CE0200">
        <w:rPr>
          <w:sz w:val="18"/>
          <w:szCs w:val="18"/>
          <w:lang w:val="en-US"/>
        </w:rPr>
        <w:t xml:space="preserve"> Fassbender A, Vodolazkaia A, Saunders P, Lebovic D, Waelkens E, De Moor B, D'Hooghe T. </w:t>
      </w:r>
      <w:r w:rsidRPr="00CE0200">
        <w:rPr>
          <w:i/>
          <w:iCs/>
          <w:sz w:val="18"/>
          <w:szCs w:val="18"/>
          <w:lang w:val="en-US"/>
        </w:rPr>
        <w:t>Biomarkers of endometriosis</w:t>
      </w:r>
      <w:r w:rsidRPr="00CE0200">
        <w:rPr>
          <w:sz w:val="18"/>
          <w:szCs w:val="18"/>
          <w:lang w:val="en-US"/>
        </w:rPr>
        <w:t xml:space="preserve">. Fertil Steril. </w:t>
      </w:r>
      <w:r w:rsidRPr="00CE0200">
        <w:rPr>
          <w:b/>
          <w:bCs/>
          <w:sz w:val="18"/>
          <w:szCs w:val="18"/>
          <w:lang w:val="en-US"/>
        </w:rPr>
        <w:t>2013</w:t>
      </w:r>
      <w:r w:rsidRPr="00CE0200">
        <w:rPr>
          <w:sz w:val="18"/>
          <w:szCs w:val="18"/>
          <w:lang w:val="en-US"/>
        </w:rPr>
        <w:t xml:space="preserve"> Mar 15;99(4):1135-45. doi: 10.1016/j.fertnstert.2013.01.097. Epub 2013 Feb 13. PMID: 23414923.</w:t>
      </w:r>
    </w:p>
    <w:p w14:paraId="615BA747" w14:textId="77777777" w:rsidR="00AB45E6" w:rsidRPr="00CE0200" w:rsidRDefault="00AB45E6" w:rsidP="00AB45E6">
      <w:pPr>
        <w:pStyle w:val="Testonotadichiusura"/>
        <w:jc w:val="both"/>
        <w:rPr>
          <w:sz w:val="18"/>
          <w:szCs w:val="18"/>
          <w:lang w:val="en-US"/>
        </w:rPr>
      </w:pPr>
    </w:p>
  </w:endnote>
  <w:endnote w:id="256">
    <w:p w14:paraId="0B090D5F" w14:textId="37C97B4F" w:rsidR="009540C1" w:rsidRPr="005F1689" w:rsidRDefault="009540C1" w:rsidP="009540C1">
      <w:pPr>
        <w:pStyle w:val="Testonotadichiusura"/>
        <w:jc w:val="both"/>
        <w:rPr>
          <w:lang w:val="en-US"/>
        </w:rPr>
      </w:pPr>
      <w:r>
        <w:rPr>
          <w:rStyle w:val="Rimandonotadichiusura"/>
        </w:rPr>
        <w:endnoteRef/>
      </w:r>
      <w:r w:rsidRPr="009540C1">
        <w:rPr>
          <w:lang w:val="en-US"/>
        </w:rPr>
        <w:t xml:space="preserve"> </w:t>
      </w:r>
      <w:r w:rsidRPr="009540C1">
        <w:rPr>
          <w:sz w:val="18"/>
          <w:szCs w:val="18"/>
          <w:lang w:val="en-US"/>
        </w:rPr>
        <w:t xml:space="preserve">Adamson GD, Pasta DJ. </w:t>
      </w:r>
      <w:r w:rsidRPr="009540C1">
        <w:rPr>
          <w:i/>
          <w:iCs/>
          <w:sz w:val="18"/>
          <w:szCs w:val="18"/>
          <w:lang w:val="en-US"/>
        </w:rPr>
        <w:t>Endometriosis fertility index: the new, validated endometriosis staging system</w:t>
      </w:r>
      <w:r w:rsidRPr="009540C1">
        <w:rPr>
          <w:sz w:val="18"/>
          <w:szCs w:val="18"/>
          <w:lang w:val="en-US"/>
        </w:rPr>
        <w:t xml:space="preserve">. </w:t>
      </w:r>
      <w:r w:rsidRPr="005F1689">
        <w:rPr>
          <w:sz w:val="18"/>
          <w:szCs w:val="18"/>
          <w:lang w:val="en-US"/>
        </w:rPr>
        <w:t xml:space="preserve">Fertil Steril. </w:t>
      </w:r>
      <w:r w:rsidRPr="005F1689">
        <w:rPr>
          <w:b/>
          <w:bCs/>
          <w:sz w:val="18"/>
          <w:szCs w:val="18"/>
          <w:lang w:val="en-US"/>
        </w:rPr>
        <w:t>2010</w:t>
      </w:r>
      <w:r w:rsidRPr="005F1689">
        <w:rPr>
          <w:sz w:val="18"/>
          <w:szCs w:val="18"/>
          <w:lang w:val="en-US"/>
        </w:rPr>
        <w:t xml:space="preserve"> Oct;94(5):1609-15. doi: 10.1016/j.fertnstert.2009.09.035. PMID: 19931076.</w:t>
      </w:r>
    </w:p>
    <w:p w14:paraId="3A612408" w14:textId="77777777" w:rsidR="009540C1" w:rsidRPr="009540C1" w:rsidRDefault="009540C1">
      <w:pPr>
        <w:pStyle w:val="Testonotadichiusura"/>
        <w:rPr>
          <w:lang w:val="en-US"/>
        </w:rPr>
      </w:pPr>
    </w:p>
  </w:endnote>
  <w:endnote w:id="257">
    <w:p w14:paraId="2DE41EA3" w14:textId="11520D8F" w:rsidR="00250078" w:rsidRPr="00250078" w:rsidRDefault="00250078" w:rsidP="00CE0200">
      <w:pPr>
        <w:pStyle w:val="Testonotadichiusura"/>
        <w:jc w:val="both"/>
        <w:rPr>
          <w:lang w:val="en-US"/>
        </w:rPr>
      </w:pPr>
      <w:r>
        <w:rPr>
          <w:rStyle w:val="Rimandonotadichiusura"/>
        </w:rPr>
        <w:endnoteRef/>
      </w:r>
      <w:r w:rsidRPr="00250078">
        <w:rPr>
          <w:lang w:val="en-US"/>
        </w:rPr>
        <w:t xml:space="preserve"> </w:t>
      </w:r>
      <w:r w:rsidRPr="00250078">
        <w:rPr>
          <w:sz w:val="18"/>
          <w:szCs w:val="18"/>
          <w:lang w:val="en-US"/>
        </w:rPr>
        <w:t>Available online: https://www.agenziacoesione.gov.it/comunicazione/agenda-2030-per-lo-sviluppo-sostenibile/ (accessed on 1 May 2024).</w:t>
      </w:r>
      <w:r w:rsidRPr="00250078">
        <w:rPr>
          <w:lang w:val="en-US"/>
        </w:rPr>
        <w:t xml:space="preserve"> </w:t>
      </w:r>
    </w:p>
    <w:p w14:paraId="6A88D44A" w14:textId="23781FA5" w:rsidR="00250078" w:rsidRPr="00250078" w:rsidRDefault="00250078" w:rsidP="00CE0200">
      <w:pPr>
        <w:pStyle w:val="Testonotadichiusura"/>
        <w:jc w:val="both"/>
        <w:rPr>
          <w:lang w:val="en-US"/>
        </w:rPr>
      </w:pPr>
    </w:p>
  </w:endnote>
  <w:endnote w:id="258">
    <w:p w14:paraId="67A16E0D" w14:textId="29051167" w:rsidR="00D50E5A" w:rsidRPr="00250078" w:rsidRDefault="00D50E5A" w:rsidP="00CE0200">
      <w:pPr>
        <w:pStyle w:val="Testonotadichiusura"/>
        <w:jc w:val="both"/>
        <w:rPr>
          <w:lang w:val="en-US"/>
        </w:rPr>
      </w:pPr>
      <w:r>
        <w:rPr>
          <w:rStyle w:val="Rimandonotadichiusura"/>
        </w:rPr>
        <w:endnoteRef/>
      </w:r>
      <w:r w:rsidRPr="00D50E5A">
        <w:rPr>
          <w:lang w:val="en-US"/>
        </w:rPr>
        <w:t xml:space="preserve"> </w:t>
      </w:r>
      <w:r w:rsidRPr="00D50E5A">
        <w:rPr>
          <w:sz w:val="18"/>
          <w:szCs w:val="18"/>
          <w:lang w:val="en-US"/>
        </w:rPr>
        <w:t xml:space="preserve">Benlioglu C, Telek SB, Ata B. </w:t>
      </w:r>
      <w:r w:rsidRPr="00D50E5A">
        <w:rPr>
          <w:i/>
          <w:iCs/>
          <w:sz w:val="18"/>
          <w:szCs w:val="18"/>
          <w:lang w:val="en-US"/>
        </w:rPr>
        <w:t>Reproductive Outcomes in Infertile Women with Endometriosis Undergoing Assisted Reproductive Technology.</w:t>
      </w:r>
      <w:r w:rsidRPr="00D50E5A">
        <w:rPr>
          <w:sz w:val="18"/>
          <w:szCs w:val="18"/>
          <w:lang w:val="en-US"/>
        </w:rPr>
        <w:t xml:space="preserve"> </w:t>
      </w:r>
      <w:r w:rsidRPr="00250078">
        <w:rPr>
          <w:sz w:val="18"/>
          <w:szCs w:val="18"/>
          <w:lang w:val="en-US"/>
        </w:rPr>
        <w:t xml:space="preserve">Gynecol Obstet Invest. </w:t>
      </w:r>
      <w:r w:rsidRPr="00250078">
        <w:rPr>
          <w:b/>
          <w:bCs/>
          <w:sz w:val="18"/>
          <w:szCs w:val="18"/>
          <w:lang w:val="en-US"/>
        </w:rPr>
        <w:t>2025;</w:t>
      </w:r>
      <w:r w:rsidRPr="00250078">
        <w:rPr>
          <w:sz w:val="18"/>
          <w:szCs w:val="18"/>
          <w:lang w:val="en-US"/>
        </w:rPr>
        <w:t>90(4):374-380. doi: 10.1159/000543213. Epub 2025 Jan 25. PMID: 39864416.</w:t>
      </w:r>
    </w:p>
    <w:p w14:paraId="000DC9ED" w14:textId="77777777" w:rsidR="00D50E5A" w:rsidRPr="00D50E5A" w:rsidRDefault="00D50E5A" w:rsidP="00CE0200">
      <w:pPr>
        <w:pStyle w:val="Testonotadichiusura"/>
        <w:jc w:val="both"/>
        <w:rPr>
          <w:lang w:val="en-US"/>
        </w:rPr>
      </w:pPr>
    </w:p>
  </w:endnote>
  <w:endnote w:id="259">
    <w:p w14:paraId="7A745C5F" w14:textId="77777777" w:rsidR="0027368D" w:rsidRPr="00D73971" w:rsidRDefault="0027368D" w:rsidP="0027368D">
      <w:pPr>
        <w:jc w:val="both"/>
        <w:rPr>
          <w:lang w:val="en-US"/>
        </w:rPr>
      </w:pPr>
      <w:r>
        <w:rPr>
          <w:rStyle w:val="Rimandonotadichiusura"/>
        </w:rPr>
        <w:endnoteRef/>
      </w:r>
      <w:r w:rsidRPr="0027368D">
        <w:rPr>
          <w:lang w:val="en-US"/>
        </w:rPr>
        <w:t xml:space="preserve"> </w:t>
      </w:r>
      <w:r w:rsidRPr="0027368D">
        <w:rPr>
          <w:sz w:val="18"/>
          <w:szCs w:val="18"/>
          <w:lang w:val="en-US"/>
        </w:rPr>
        <w:t xml:space="preserve">Papapanou PN, Sanz M, Buduneli N, Dietrich T, Feres M, Fine DH, Flemmig TF, Garcia R, Giannobile WV, Graziani F, Greenwell H, Herrera D, Kao RT, Kebschull M, Kinane DF, Kirkwood KL, Kocher T, Kornman KS, Kumar PS, Loos BG, Machtei E, Meng H, Mombelli A, Needleman I, Offenbacher S, Seymour GJ, Teles R, Tonetti MS. </w:t>
      </w:r>
      <w:r w:rsidRPr="0027368D">
        <w:rPr>
          <w:i/>
          <w:iCs/>
          <w:sz w:val="18"/>
          <w:szCs w:val="18"/>
          <w:lang w:val="en-US"/>
        </w:rPr>
        <w:t>Periodontitis: Consensus report of workgroup 2 of the 2017 World Workshop on the Classification of Periodontal and Peri-Implant Diseases and Conditions</w:t>
      </w:r>
      <w:r w:rsidRPr="0027368D">
        <w:rPr>
          <w:sz w:val="18"/>
          <w:szCs w:val="18"/>
          <w:lang w:val="en-US"/>
        </w:rPr>
        <w:t xml:space="preserve">. </w:t>
      </w:r>
      <w:r w:rsidRPr="00D73971">
        <w:rPr>
          <w:sz w:val="18"/>
          <w:szCs w:val="18"/>
          <w:lang w:val="en-US"/>
        </w:rPr>
        <w:t xml:space="preserve">J Periodontol. </w:t>
      </w:r>
      <w:r w:rsidRPr="00D73971">
        <w:rPr>
          <w:b/>
          <w:bCs/>
          <w:sz w:val="18"/>
          <w:szCs w:val="18"/>
          <w:lang w:val="en-US"/>
        </w:rPr>
        <w:t>2018</w:t>
      </w:r>
      <w:r w:rsidRPr="00D73971">
        <w:rPr>
          <w:sz w:val="18"/>
          <w:szCs w:val="18"/>
          <w:lang w:val="en-US"/>
        </w:rPr>
        <w:t xml:space="preserve"> Jun;89 Suppl 1:S173-S182. doi: 10.1002/JPER.17-0721. PMID: 29926951.</w:t>
      </w:r>
    </w:p>
    <w:p w14:paraId="34F7191E" w14:textId="5D08AB1C" w:rsidR="0027368D" w:rsidRPr="00D73971" w:rsidRDefault="0027368D">
      <w:pPr>
        <w:pStyle w:val="Testonotadichiusura"/>
        <w:rPr>
          <w:lang w:val="en-US"/>
        </w:rPr>
      </w:pPr>
    </w:p>
  </w:endnote>
  <w:endnote w:id="260">
    <w:p w14:paraId="5A6A368A" w14:textId="77777777" w:rsidR="007C6396" w:rsidRPr="005F1689" w:rsidRDefault="007C6396" w:rsidP="007C6396">
      <w:pPr>
        <w:jc w:val="both"/>
        <w:rPr>
          <w:sz w:val="20"/>
          <w:szCs w:val="20"/>
          <w:highlight w:val="cyan"/>
          <w:lang w:val="en-US"/>
        </w:rPr>
      </w:pPr>
      <w:r>
        <w:rPr>
          <w:rStyle w:val="Rimandonotadichiusura"/>
        </w:rPr>
        <w:endnoteRef/>
      </w:r>
      <w:r w:rsidRPr="007C6396">
        <w:rPr>
          <w:lang w:val="en-US"/>
        </w:rPr>
        <w:t xml:space="preserve"> </w:t>
      </w:r>
      <w:r w:rsidRPr="007C6396">
        <w:rPr>
          <w:sz w:val="20"/>
          <w:szCs w:val="20"/>
          <w:lang w:val="en-US"/>
        </w:rPr>
        <w:t xml:space="preserve">Armitage GC. </w:t>
      </w:r>
      <w:r w:rsidRPr="007C6396">
        <w:rPr>
          <w:i/>
          <w:iCs/>
          <w:sz w:val="20"/>
          <w:szCs w:val="20"/>
          <w:lang w:val="en-US"/>
        </w:rPr>
        <w:t>Development of a classification system for periodontal diseases and conditions.</w:t>
      </w:r>
      <w:r w:rsidRPr="007C6396">
        <w:rPr>
          <w:sz w:val="20"/>
          <w:szCs w:val="20"/>
          <w:lang w:val="en-US"/>
        </w:rPr>
        <w:t xml:space="preserve"> </w:t>
      </w:r>
      <w:r w:rsidRPr="005F1689">
        <w:rPr>
          <w:sz w:val="20"/>
          <w:szCs w:val="20"/>
          <w:lang w:val="en-US"/>
        </w:rPr>
        <w:t xml:space="preserve">Ann Periodontol </w:t>
      </w:r>
      <w:r w:rsidRPr="005F1689">
        <w:rPr>
          <w:b/>
          <w:bCs/>
          <w:sz w:val="20"/>
          <w:szCs w:val="20"/>
          <w:lang w:val="en-US"/>
        </w:rPr>
        <w:t>1999</w:t>
      </w:r>
      <w:r w:rsidRPr="005F1689">
        <w:rPr>
          <w:sz w:val="20"/>
          <w:szCs w:val="20"/>
          <w:lang w:val="en-US"/>
        </w:rPr>
        <w:t>;4:1</w:t>
      </w:r>
      <w:r w:rsidRPr="005F1689">
        <w:rPr>
          <w:rFonts w:ascii="Cambria Math" w:hAnsi="Cambria Math" w:cs="Cambria Math"/>
          <w:sz w:val="20"/>
          <w:szCs w:val="20"/>
          <w:lang w:val="en-US"/>
        </w:rPr>
        <w:t>‐</w:t>
      </w:r>
      <w:r w:rsidRPr="005F1689">
        <w:rPr>
          <w:sz w:val="20"/>
          <w:szCs w:val="20"/>
          <w:lang w:val="en-US"/>
        </w:rPr>
        <w:t xml:space="preserve">6. </w:t>
      </w:r>
    </w:p>
    <w:p w14:paraId="5DCD1B68" w14:textId="37BB3EA0" w:rsidR="007C6396" w:rsidRPr="005F1689" w:rsidRDefault="007C6396">
      <w:pPr>
        <w:pStyle w:val="Testonotadichiusura"/>
        <w:rPr>
          <w:lang w:val="en-US"/>
        </w:rPr>
      </w:pPr>
    </w:p>
  </w:endnote>
  <w:endnote w:id="261">
    <w:p w14:paraId="1A336164" w14:textId="03F32C59" w:rsidR="00C7233E" w:rsidRPr="005F1689" w:rsidRDefault="00C7233E">
      <w:pPr>
        <w:pStyle w:val="Testonotadichiusura"/>
        <w:rPr>
          <w:sz w:val="18"/>
          <w:szCs w:val="18"/>
          <w:lang w:val="en-US"/>
        </w:rPr>
      </w:pPr>
      <w:r>
        <w:rPr>
          <w:rStyle w:val="Rimandonotadichiusura"/>
        </w:rPr>
        <w:endnoteRef/>
      </w:r>
      <w:r w:rsidRPr="00C7233E">
        <w:rPr>
          <w:lang w:val="en-US"/>
        </w:rPr>
        <w:t xml:space="preserve"> </w:t>
      </w:r>
      <w:r w:rsidRPr="00C7233E">
        <w:rPr>
          <w:sz w:val="18"/>
          <w:szCs w:val="18"/>
          <w:lang w:val="en-US"/>
        </w:rPr>
        <w:t xml:space="preserve">Heid CA, Stevens J, Livak KJ, Williams PM. </w:t>
      </w:r>
      <w:r w:rsidRPr="00C7233E">
        <w:rPr>
          <w:i/>
          <w:iCs/>
          <w:sz w:val="18"/>
          <w:szCs w:val="18"/>
          <w:lang w:val="en-US"/>
        </w:rPr>
        <w:t>Real time quantitative PCR. Genome Res.</w:t>
      </w:r>
      <w:r w:rsidRPr="00C7233E">
        <w:rPr>
          <w:sz w:val="18"/>
          <w:szCs w:val="18"/>
          <w:lang w:val="en-US"/>
        </w:rPr>
        <w:t xml:space="preserve"> 1996 Oct;6(10):986-94. doi: 10.1101/gr.6.10.986. </w:t>
      </w:r>
      <w:r w:rsidRPr="005F1689">
        <w:rPr>
          <w:sz w:val="18"/>
          <w:szCs w:val="18"/>
          <w:lang w:val="en-US"/>
        </w:rPr>
        <w:t>PMID: 8908518.</w:t>
      </w:r>
    </w:p>
    <w:p w14:paraId="0F4E572D" w14:textId="77777777" w:rsidR="00C7233E" w:rsidRPr="005F1689" w:rsidRDefault="00C7233E">
      <w:pPr>
        <w:pStyle w:val="Testonotadichiusura"/>
        <w:rPr>
          <w:lang w:val="en-US"/>
        </w:rPr>
      </w:pPr>
    </w:p>
  </w:endnote>
  <w:endnote w:id="262">
    <w:p w14:paraId="2FBE77D0" w14:textId="1B7B22B6" w:rsidR="00C7233E" w:rsidRDefault="00C7233E">
      <w:pPr>
        <w:pStyle w:val="Testonotadichiusura"/>
        <w:rPr>
          <w:sz w:val="18"/>
          <w:szCs w:val="18"/>
          <w:lang w:val="en-US"/>
        </w:rPr>
      </w:pPr>
      <w:r>
        <w:rPr>
          <w:rStyle w:val="Rimandonotadichiusura"/>
        </w:rPr>
        <w:endnoteRef/>
      </w:r>
      <w:r w:rsidRPr="00C7233E">
        <w:rPr>
          <w:lang w:val="en-US"/>
        </w:rPr>
        <w:t xml:space="preserve"> </w:t>
      </w:r>
      <w:r w:rsidRPr="00C7233E">
        <w:rPr>
          <w:sz w:val="18"/>
          <w:szCs w:val="18"/>
          <w:lang w:val="en-US"/>
        </w:rPr>
        <w:t xml:space="preserve">Socransky SS, Haffajee AD, Cugini MA, Smith C, Kent RL Jr. </w:t>
      </w:r>
      <w:r w:rsidRPr="00C7233E">
        <w:rPr>
          <w:i/>
          <w:iCs/>
          <w:sz w:val="18"/>
          <w:szCs w:val="18"/>
          <w:lang w:val="en-US"/>
        </w:rPr>
        <w:t>Microbial complexes in subgingival plaque. J Clin Periodontol.</w:t>
      </w:r>
      <w:r w:rsidRPr="00C7233E">
        <w:rPr>
          <w:sz w:val="18"/>
          <w:szCs w:val="18"/>
          <w:lang w:val="en-US"/>
        </w:rPr>
        <w:t xml:space="preserve"> </w:t>
      </w:r>
      <w:r w:rsidRPr="00C7233E">
        <w:rPr>
          <w:b/>
          <w:bCs/>
          <w:sz w:val="18"/>
          <w:szCs w:val="18"/>
          <w:lang w:val="en-US"/>
        </w:rPr>
        <w:t>1998</w:t>
      </w:r>
      <w:r w:rsidRPr="00C7233E">
        <w:rPr>
          <w:sz w:val="18"/>
          <w:szCs w:val="18"/>
          <w:lang w:val="en-US"/>
        </w:rPr>
        <w:t xml:space="preserve"> Feb;25(2):134-44. doi: 10.1111/j.1600-051x.1998.tb02419.x. PMID: 9495612.</w:t>
      </w:r>
    </w:p>
    <w:p w14:paraId="1DA92729" w14:textId="77777777" w:rsidR="00C7233E" w:rsidRPr="00C7233E" w:rsidRDefault="00C7233E">
      <w:pPr>
        <w:pStyle w:val="Testonotadichiusura"/>
        <w:rPr>
          <w:lang w:val="en-US"/>
        </w:rPr>
      </w:pPr>
    </w:p>
  </w:endnote>
  <w:endnote w:id="263">
    <w:p w14:paraId="075057D0" w14:textId="18C1F83E" w:rsidR="00246A2A" w:rsidRPr="00246A2A" w:rsidRDefault="00246A2A" w:rsidP="00246A2A">
      <w:pPr>
        <w:pStyle w:val="Testonotadichiusura"/>
        <w:jc w:val="both"/>
        <w:rPr>
          <w:lang w:val="en-US"/>
        </w:rPr>
      </w:pPr>
      <w:r>
        <w:rPr>
          <w:rStyle w:val="Rimandonotadichiusura"/>
        </w:rPr>
        <w:endnoteRef/>
      </w:r>
      <w:r w:rsidRPr="00246A2A">
        <w:rPr>
          <w:lang w:val="en-US"/>
        </w:rPr>
        <w:t xml:space="preserve"> </w:t>
      </w:r>
      <w:r w:rsidRPr="00246A2A">
        <w:rPr>
          <w:sz w:val="18"/>
          <w:szCs w:val="18"/>
          <w:lang w:val="en-US"/>
        </w:rPr>
        <w:t xml:space="preserve">D'Aiuto F, Parkar M, Andreou G, Suvan J, Brett PM, Ready D, Tonetti MS. </w:t>
      </w:r>
      <w:r w:rsidRPr="00246A2A">
        <w:rPr>
          <w:i/>
          <w:iCs/>
          <w:sz w:val="18"/>
          <w:szCs w:val="18"/>
          <w:lang w:val="en-US"/>
        </w:rPr>
        <w:t>Periodontitis and systemic inflammation: control of the local infection is associated with a reduction in serum inflammatory markers. J Dent R</w:t>
      </w:r>
      <w:r w:rsidRPr="00246A2A">
        <w:rPr>
          <w:sz w:val="18"/>
          <w:szCs w:val="18"/>
          <w:lang w:val="en-US"/>
        </w:rPr>
        <w:t xml:space="preserve">es. </w:t>
      </w:r>
      <w:r w:rsidRPr="00246A2A">
        <w:rPr>
          <w:b/>
          <w:bCs/>
          <w:sz w:val="18"/>
          <w:szCs w:val="18"/>
          <w:lang w:val="en-US"/>
        </w:rPr>
        <w:t>2004</w:t>
      </w:r>
      <w:r w:rsidRPr="00246A2A">
        <w:rPr>
          <w:sz w:val="18"/>
          <w:szCs w:val="18"/>
          <w:lang w:val="en-US"/>
        </w:rPr>
        <w:t xml:space="preserve"> Feb;83(2):156-60. doi: 10.1177/154405910408300214. PMID: 14742655.</w:t>
      </w:r>
    </w:p>
    <w:p w14:paraId="0B1D8B17" w14:textId="77777777" w:rsidR="00246A2A" w:rsidRPr="00246A2A" w:rsidRDefault="00246A2A">
      <w:pPr>
        <w:pStyle w:val="Testonotadichiusura"/>
        <w:rPr>
          <w:lang w:val="en-US"/>
        </w:rPr>
      </w:pPr>
    </w:p>
  </w:endnote>
  <w:endnote w:id="264">
    <w:p w14:paraId="5F186857" w14:textId="1CCDACE2" w:rsidR="00246A2A" w:rsidRPr="00246A2A" w:rsidRDefault="00246A2A" w:rsidP="00246A2A">
      <w:pPr>
        <w:pStyle w:val="Testonotadichiusura"/>
        <w:jc w:val="both"/>
        <w:rPr>
          <w:sz w:val="18"/>
          <w:szCs w:val="18"/>
          <w:lang w:val="en-GB"/>
        </w:rPr>
      </w:pPr>
      <w:r>
        <w:rPr>
          <w:rStyle w:val="Rimandonotadichiusura"/>
        </w:rPr>
        <w:endnoteRef/>
      </w:r>
      <w:r w:rsidRPr="00246A2A">
        <w:rPr>
          <w:lang w:val="en-US"/>
        </w:rPr>
        <w:t xml:space="preserve"> </w:t>
      </w:r>
      <w:r w:rsidRPr="00246A2A">
        <w:rPr>
          <w:sz w:val="18"/>
          <w:szCs w:val="18"/>
          <w:lang w:val="en-GB"/>
        </w:rPr>
        <w:t xml:space="preserve">Ide M, Papapanou PN. </w:t>
      </w:r>
      <w:r w:rsidRPr="00246A2A">
        <w:rPr>
          <w:i/>
          <w:iCs/>
          <w:sz w:val="18"/>
          <w:szCs w:val="18"/>
          <w:lang w:val="en-GB"/>
        </w:rPr>
        <w:t xml:space="preserve">Epidemiology of association between maternal periodontal disease and adverse pregnancy outcomes. Periodontol </w:t>
      </w:r>
      <w:r w:rsidRPr="00246A2A">
        <w:rPr>
          <w:b/>
          <w:bCs/>
          <w:sz w:val="18"/>
          <w:szCs w:val="18"/>
          <w:lang w:val="en-GB"/>
        </w:rPr>
        <w:t>2000</w:t>
      </w:r>
      <w:r w:rsidRPr="00246A2A">
        <w:rPr>
          <w:i/>
          <w:iCs/>
          <w:sz w:val="18"/>
          <w:szCs w:val="18"/>
          <w:lang w:val="en-GB"/>
        </w:rPr>
        <w:t>.</w:t>
      </w:r>
      <w:r w:rsidRPr="00246A2A">
        <w:rPr>
          <w:sz w:val="18"/>
          <w:szCs w:val="18"/>
          <w:lang w:val="en-GB"/>
        </w:rPr>
        <w:t xml:space="preserve"> 2013;61:183–202.)</w:t>
      </w:r>
    </w:p>
    <w:p w14:paraId="31E88BF3" w14:textId="77777777" w:rsidR="00246A2A" w:rsidRPr="00246A2A" w:rsidRDefault="00246A2A">
      <w:pPr>
        <w:pStyle w:val="Testonotadichiusura"/>
        <w:rPr>
          <w:lang w:val="en-US"/>
        </w:rPr>
      </w:pPr>
    </w:p>
  </w:endnote>
  <w:endnote w:id="265">
    <w:p w14:paraId="441AE3F2" w14:textId="0763EB3E" w:rsidR="00246A2A" w:rsidRPr="00246A2A" w:rsidRDefault="00246A2A" w:rsidP="00246A2A">
      <w:pPr>
        <w:pStyle w:val="Testonotadichiusura"/>
        <w:jc w:val="both"/>
        <w:rPr>
          <w:lang w:val="en-US"/>
        </w:rPr>
      </w:pPr>
      <w:r>
        <w:rPr>
          <w:rStyle w:val="Rimandonotadichiusura"/>
        </w:rPr>
        <w:endnoteRef/>
      </w:r>
      <w:r w:rsidRPr="00246A2A">
        <w:rPr>
          <w:lang w:val="en-US"/>
        </w:rPr>
        <w:t xml:space="preserve"> </w:t>
      </w:r>
      <w:r w:rsidRPr="00246A2A">
        <w:rPr>
          <w:sz w:val="18"/>
          <w:szCs w:val="18"/>
          <w:lang w:val="en-US"/>
        </w:rPr>
        <w:t xml:space="preserve">Han YW, Redline RW, Li M, Yin L, Hill GB, McCormick TS. </w:t>
      </w:r>
      <w:r w:rsidRPr="00246A2A">
        <w:rPr>
          <w:i/>
          <w:iCs/>
          <w:sz w:val="18"/>
          <w:szCs w:val="18"/>
          <w:lang w:val="en-US"/>
        </w:rPr>
        <w:t>Fusobacterium nucleatum induces premature and term stillbirths in pregnant mice: implication of oral bacteria in preterm birth. Infect Immun</w:t>
      </w:r>
      <w:r w:rsidRPr="00246A2A">
        <w:rPr>
          <w:sz w:val="18"/>
          <w:szCs w:val="18"/>
          <w:lang w:val="en-US"/>
        </w:rPr>
        <w:t xml:space="preserve">. </w:t>
      </w:r>
      <w:r w:rsidRPr="00246A2A">
        <w:rPr>
          <w:b/>
          <w:bCs/>
          <w:sz w:val="18"/>
          <w:szCs w:val="18"/>
          <w:lang w:val="en-US"/>
        </w:rPr>
        <w:t>2004</w:t>
      </w:r>
      <w:r w:rsidRPr="00246A2A">
        <w:rPr>
          <w:sz w:val="18"/>
          <w:szCs w:val="18"/>
          <w:lang w:val="en-US"/>
        </w:rPr>
        <w:t xml:space="preserve"> Apr;72(4):2272-9. doi: 10.1128/IAI.72.4.2272-2279.2004. PMID: 15039352; PMCID: PMC375172.</w:t>
      </w:r>
    </w:p>
    <w:p w14:paraId="62669A65" w14:textId="77777777" w:rsidR="00246A2A" w:rsidRPr="00246A2A" w:rsidRDefault="00246A2A">
      <w:pPr>
        <w:pStyle w:val="Testonotadichiusura"/>
        <w:rPr>
          <w:lang w:val="en-US"/>
        </w:rPr>
      </w:pPr>
    </w:p>
  </w:endnote>
  <w:endnote w:id="266">
    <w:p w14:paraId="7C9192DA" w14:textId="06D84C4B" w:rsidR="00246A2A" w:rsidRPr="00246A2A" w:rsidRDefault="00246A2A" w:rsidP="00246A2A">
      <w:pPr>
        <w:pStyle w:val="Testonotadichiusura"/>
        <w:jc w:val="both"/>
        <w:rPr>
          <w:lang w:val="en-US"/>
        </w:rPr>
      </w:pPr>
      <w:r>
        <w:rPr>
          <w:rStyle w:val="Rimandonotadichiusura"/>
        </w:rPr>
        <w:endnoteRef/>
      </w:r>
      <w:r w:rsidRPr="00246A2A">
        <w:rPr>
          <w:lang w:val="en-US"/>
        </w:rPr>
        <w:t xml:space="preserve"> </w:t>
      </w:r>
      <w:r w:rsidRPr="00246A2A">
        <w:rPr>
          <w:sz w:val="18"/>
          <w:szCs w:val="18"/>
          <w:lang w:val="en-US"/>
        </w:rPr>
        <w:t xml:space="preserve">Fardini Y, Wang X, Témoin S, Nithianantham S, Lee D, Shoham M, Han YW. </w:t>
      </w:r>
      <w:r w:rsidRPr="00246A2A">
        <w:rPr>
          <w:i/>
          <w:iCs/>
          <w:sz w:val="18"/>
          <w:szCs w:val="18"/>
          <w:lang w:val="en-US"/>
        </w:rPr>
        <w:t xml:space="preserve">Fusobacterium nucleatum adhesin FadA binds vascular endothelial cadherin and alters endothelial integrity. </w:t>
      </w:r>
      <w:r w:rsidRPr="00246A2A">
        <w:rPr>
          <w:sz w:val="18"/>
          <w:szCs w:val="18"/>
          <w:lang w:val="en-US"/>
        </w:rPr>
        <w:t xml:space="preserve">Mol Microbiol. </w:t>
      </w:r>
      <w:r w:rsidRPr="00246A2A">
        <w:rPr>
          <w:b/>
          <w:bCs/>
          <w:sz w:val="18"/>
          <w:szCs w:val="18"/>
          <w:lang w:val="en-US"/>
        </w:rPr>
        <w:t>2011</w:t>
      </w:r>
      <w:r w:rsidRPr="00246A2A">
        <w:rPr>
          <w:sz w:val="18"/>
          <w:szCs w:val="18"/>
          <w:lang w:val="en-US"/>
        </w:rPr>
        <w:t xml:space="preserve"> Dec;82(6):1468-80. doi: 10.1111/j.1365-2958.2011.07905.x. Epub 2011 Nov 15. PMID: 22040113; PMCID: PMC3237733.</w:t>
      </w:r>
    </w:p>
    <w:p w14:paraId="76F285E7" w14:textId="77777777" w:rsidR="00246A2A" w:rsidRPr="00246A2A" w:rsidRDefault="00246A2A">
      <w:pPr>
        <w:pStyle w:val="Testonotadichiusura"/>
        <w:rPr>
          <w:lang w:val="en-US"/>
        </w:rPr>
      </w:pPr>
    </w:p>
  </w:endnote>
  <w:endnote w:id="267">
    <w:p w14:paraId="0C44D514" w14:textId="77777777" w:rsidR="00246A2A" w:rsidRPr="00C35191" w:rsidRDefault="00246A2A" w:rsidP="00246A2A">
      <w:pPr>
        <w:jc w:val="both"/>
        <w:rPr>
          <w:lang w:val="en-US"/>
        </w:rPr>
      </w:pPr>
      <w:r>
        <w:rPr>
          <w:rStyle w:val="Rimandonotadichiusura"/>
        </w:rPr>
        <w:endnoteRef/>
      </w:r>
      <w:r w:rsidRPr="00246A2A">
        <w:rPr>
          <w:lang w:val="en-US"/>
        </w:rPr>
        <w:t xml:space="preserve"> </w:t>
      </w:r>
      <w:r w:rsidRPr="00CE436C">
        <w:rPr>
          <w:sz w:val="18"/>
          <w:szCs w:val="18"/>
          <w:lang w:val="en-US"/>
        </w:rPr>
        <w:t xml:space="preserve">Garcia-Penarrubia P, Ruiz-Alcaraz AJ, Martinez-Esparza M, Marin P, Machado-Linde F. </w:t>
      </w:r>
      <w:r w:rsidRPr="00CE436C">
        <w:rPr>
          <w:i/>
          <w:iCs/>
          <w:sz w:val="18"/>
          <w:szCs w:val="18"/>
          <w:lang w:val="en-US"/>
        </w:rPr>
        <w:t>Hypothetical roadmap towards endometriosis: prenatal endocrine-disrupting chemical pollutant exposure, anogenital distance, gut-genital microbiota, and subclinical infections.</w:t>
      </w:r>
      <w:r w:rsidRPr="00CE436C">
        <w:rPr>
          <w:sz w:val="18"/>
          <w:szCs w:val="18"/>
          <w:lang w:val="en-US"/>
        </w:rPr>
        <w:t xml:space="preserve"> Hum Reprod Update. </w:t>
      </w:r>
      <w:r w:rsidRPr="00CE436C">
        <w:rPr>
          <w:b/>
          <w:bCs/>
          <w:sz w:val="18"/>
          <w:szCs w:val="18"/>
          <w:lang w:val="en-US"/>
        </w:rPr>
        <w:t>2020</w:t>
      </w:r>
      <w:r w:rsidRPr="00CE436C">
        <w:rPr>
          <w:sz w:val="18"/>
          <w:szCs w:val="18"/>
          <w:lang w:val="en-US"/>
        </w:rPr>
        <w:t>;26(2):214-246. doi:https://doi.org/10.1093/humupd/dmz044</w:t>
      </w:r>
    </w:p>
    <w:p w14:paraId="7EFC6E00" w14:textId="47AF27F9" w:rsidR="00246A2A" w:rsidRPr="00246A2A" w:rsidRDefault="00246A2A">
      <w:pPr>
        <w:pStyle w:val="Testonotadichiusura"/>
        <w:rPr>
          <w:lang w:val="en-US"/>
        </w:rPr>
      </w:pPr>
    </w:p>
  </w:endnote>
  <w:endnote w:id="268">
    <w:p w14:paraId="04A9DCD0" w14:textId="678ADB71" w:rsidR="00246A2A" w:rsidRPr="005F1689" w:rsidRDefault="00246A2A" w:rsidP="00246A2A">
      <w:pPr>
        <w:pStyle w:val="Testonotadichiusura"/>
        <w:jc w:val="both"/>
        <w:rPr>
          <w:lang w:val="en-US"/>
        </w:rPr>
      </w:pPr>
      <w:r>
        <w:rPr>
          <w:rStyle w:val="Rimandonotadichiusura"/>
        </w:rPr>
        <w:endnoteRef/>
      </w:r>
      <w:r w:rsidRPr="00246A2A">
        <w:rPr>
          <w:lang w:val="en-US"/>
        </w:rPr>
        <w:t xml:space="preserve"> </w:t>
      </w:r>
      <w:r w:rsidRPr="00246A2A">
        <w:rPr>
          <w:sz w:val="18"/>
          <w:szCs w:val="18"/>
          <w:lang w:val="en-US"/>
        </w:rPr>
        <w:t xml:space="preserve">Walther-António MR, Chen J, Multinu F, Hokenstad A, Distad TJ, Cheek EH, Keeney GL, Creedon DJ, Nelson H, Mariani A, Chia N. </w:t>
      </w:r>
      <w:r w:rsidRPr="00246A2A">
        <w:rPr>
          <w:i/>
          <w:iCs/>
          <w:sz w:val="18"/>
          <w:szCs w:val="18"/>
          <w:lang w:val="en-US"/>
        </w:rPr>
        <w:t>Potential contribution of the uterine microbiome in the development of endometrial cancer</w:t>
      </w:r>
      <w:r w:rsidRPr="00246A2A">
        <w:rPr>
          <w:sz w:val="18"/>
          <w:szCs w:val="18"/>
          <w:lang w:val="en-US"/>
        </w:rPr>
        <w:t xml:space="preserve">. </w:t>
      </w:r>
      <w:r w:rsidRPr="005F1689">
        <w:rPr>
          <w:sz w:val="18"/>
          <w:szCs w:val="18"/>
          <w:lang w:val="en-US"/>
        </w:rPr>
        <w:t xml:space="preserve">Genome Med. </w:t>
      </w:r>
      <w:r w:rsidRPr="005F1689">
        <w:rPr>
          <w:b/>
          <w:bCs/>
          <w:sz w:val="18"/>
          <w:szCs w:val="18"/>
          <w:lang w:val="en-US"/>
        </w:rPr>
        <w:t>2016</w:t>
      </w:r>
      <w:r w:rsidRPr="005F1689">
        <w:rPr>
          <w:sz w:val="18"/>
          <w:szCs w:val="18"/>
          <w:lang w:val="en-US"/>
        </w:rPr>
        <w:t xml:space="preserve"> Nov 25;8(1):122. doi: 10.1186/s13073-016-0368-y. PMID: 27884207; PMCID: PMC5123330.</w:t>
      </w:r>
    </w:p>
    <w:p w14:paraId="4F493864" w14:textId="77777777" w:rsidR="00246A2A" w:rsidRPr="00246A2A" w:rsidRDefault="00246A2A">
      <w:pPr>
        <w:pStyle w:val="Testonotadichiusura"/>
        <w:rPr>
          <w:lang w:val="en-US"/>
        </w:rPr>
      </w:pPr>
    </w:p>
  </w:endnote>
  <w:endnote w:id="269">
    <w:p w14:paraId="5A58B06D" w14:textId="0DB73552" w:rsidR="00C7233E" w:rsidRPr="00C7233E" w:rsidRDefault="00C7233E" w:rsidP="00246A2A">
      <w:pPr>
        <w:pStyle w:val="Testonotadichiusura"/>
        <w:jc w:val="both"/>
        <w:rPr>
          <w:lang w:val="en-US"/>
        </w:rPr>
      </w:pPr>
      <w:r>
        <w:rPr>
          <w:rStyle w:val="Rimandonotadichiusura"/>
        </w:rPr>
        <w:endnoteRef/>
      </w:r>
      <w:r w:rsidRPr="00C7233E">
        <w:rPr>
          <w:lang w:val="en-US"/>
        </w:rPr>
        <w:t xml:space="preserve"> </w:t>
      </w:r>
      <w:r w:rsidRPr="00C7233E">
        <w:rPr>
          <w:sz w:val="18"/>
          <w:szCs w:val="18"/>
          <w:lang w:val="en-US"/>
        </w:rPr>
        <w:t xml:space="preserve">Kellesarian SV, Malignaggi VR, Kellesarian TV, Al-Kheraif AA, Alwageet MM, Malmstrom H, Romanos GE, Javed F. </w:t>
      </w:r>
      <w:r w:rsidRPr="00C7233E">
        <w:rPr>
          <w:i/>
          <w:iCs/>
          <w:sz w:val="18"/>
          <w:szCs w:val="18"/>
          <w:lang w:val="en-US"/>
        </w:rPr>
        <w:t xml:space="preserve">Association between periodontal disease and polycystic ovary syndrome: a systematic review. </w:t>
      </w:r>
      <w:r w:rsidRPr="00C7233E">
        <w:rPr>
          <w:sz w:val="18"/>
          <w:szCs w:val="18"/>
          <w:lang w:val="en-US"/>
        </w:rPr>
        <w:t xml:space="preserve">Int J Impot Res. </w:t>
      </w:r>
      <w:r w:rsidRPr="00C7233E">
        <w:rPr>
          <w:b/>
          <w:bCs/>
          <w:sz w:val="18"/>
          <w:szCs w:val="18"/>
          <w:lang w:val="en-US"/>
        </w:rPr>
        <w:t>2017</w:t>
      </w:r>
      <w:r w:rsidRPr="00C7233E">
        <w:rPr>
          <w:sz w:val="18"/>
          <w:szCs w:val="18"/>
          <w:lang w:val="en-US"/>
        </w:rPr>
        <w:t xml:space="preserve"> May;29(3):89-95. doi: 10.1038/ijir.2017.7. Epub 2017 Mar 9. PMID: 28275229.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Corpo C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459382460"/>
      <w:docPartObj>
        <w:docPartGallery w:val="Page Numbers (Bottom of Page)"/>
        <w:docPartUnique/>
      </w:docPartObj>
    </w:sdtPr>
    <w:sdtContent>
      <w:p w14:paraId="043F1653" w14:textId="2666B493" w:rsidR="00692539" w:rsidRDefault="00692539" w:rsidP="00217C79">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034833EA" w14:textId="77777777" w:rsidR="00692539" w:rsidRDefault="0069253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82226709"/>
      <w:docPartObj>
        <w:docPartGallery w:val="Page Numbers (Bottom of Page)"/>
        <w:docPartUnique/>
      </w:docPartObj>
    </w:sdtPr>
    <w:sdtContent>
      <w:p w14:paraId="0186BE9D" w14:textId="77777777" w:rsidR="00692539" w:rsidRDefault="00692539" w:rsidP="00217C79">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94B3437" w14:textId="77777777" w:rsidR="00692539" w:rsidRDefault="0069253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783848033"/>
      <w:docPartObj>
        <w:docPartGallery w:val="Page Numbers (Bottom of Page)"/>
        <w:docPartUnique/>
      </w:docPartObj>
    </w:sdtPr>
    <w:sdtContent>
      <w:p w14:paraId="70B5C869" w14:textId="77777777" w:rsidR="00692539" w:rsidRDefault="00692539" w:rsidP="00217C79">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7</w:t>
        </w:r>
        <w:r>
          <w:rPr>
            <w:rStyle w:val="Numeropagina"/>
          </w:rPr>
          <w:fldChar w:fldCharType="end"/>
        </w:r>
      </w:p>
    </w:sdtContent>
  </w:sdt>
  <w:p w14:paraId="08D65B6F" w14:textId="77777777" w:rsidR="00692539" w:rsidRDefault="006925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CC2B42" w14:textId="77777777" w:rsidR="001A3906" w:rsidRDefault="001A3906" w:rsidP="000B3E73">
      <w:r>
        <w:separator/>
      </w:r>
    </w:p>
  </w:footnote>
  <w:footnote w:type="continuationSeparator" w:id="0">
    <w:p w14:paraId="38890D12" w14:textId="77777777" w:rsidR="001A3906" w:rsidRDefault="001A3906" w:rsidP="000B3E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915C5"/>
    <w:multiLevelType w:val="multilevel"/>
    <w:tmpl w:val="CC6E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400A3"/>
    <w:multiLevelType w:val="multilevel"/>
    <w:tmpl w:val="1CAE86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02343A"/>
    <w:multiLevelType w:val="multilevel"/>
    <w:tmpl w:val="C54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591FEE"/>
    <w:multiLevelType w:val="multilevel"/>
    <w:tmpl w:val="328E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032576"/>
    <w:multiLevelType w:val="multilevel"/>
    <w:tmpl w:val="B2B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723C6"/>
    <w:multiLevelType w:val="hybridMultilevel"/>
    <w:tmpl w:val="571C48F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9A2C22"/>
    <w:multiLevelType w:val="multilevel"/>
    <w:tmpl w:val="BE80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A96540"/>
    <w:multiLevelType w:val="multilevel"/>
    <w:tmpl w:val="18A6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42FE1"/>
    <w:multiLevelType w:val="multilevel"/>
    <w:tmpl w:val="0B0E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7231EF"/>
    <w:multiLevelType w:val="multilevel"/>
    <w:tmpl w:val="CC6A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431408"/>
    <w:multiLevelType w:val="multilevel"/>
    <w:tmpl w:val="7A14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F8068A"/>
    <w:multiLevelType w:val="multilevel"/>
    <w:tmpl w:val="1AF0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8173D6"/>
    <w:multiLevelType w:val="multilevel"/>
    <w:tmpl w:val="5DFC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4D068E"/>
    <w:multiLevelType w:val="multilevel"/>
    <w:tmpl w:val="292A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B90F16"/>
    <w:multiLevelType w:val="multilevel"/>
    <w:tmpl w:val="DDCC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F805F9"/>
    <w:multiLevelType w:val="multilevel"/>
    <w:tmpl w:val="A492EB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160AFA"/>
    <w:multiLevelType w:val="multilevel"/>
    <w:tmpl w:val="8A3CA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6D0ADA"/>
    <w:multiLevelType w:val="multilevel"/>
    <w:tmpl w:val="1AD4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266BC9"/>
    <w:multiLevelType w:val="multilevel"/>
    <w:tmpl w:val="9078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8F15E0"/>
    <w:multiLevelType w:val="multilevel"/>
    <w:tmpl w:val="E096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5EC0A1C"/>
    <w:multiLevelType w:val="multilevel"/>
    <w:tmpl w:val="1E6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6152F5A"/>
    <w:multiLevelType w:val="multilevel"/>
    <w:tmpl w:val="A98CF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61A650E"/>
    <w:multiLevelType w:val="multilevel"/>
    <w:tmpl w:val="3012824E"/>
    <w:lvl w:ilvl="0">
      <w:start w:val="3"/>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3" w15:restartNumberingAfterBreak="0">
    <w:nsid w:val="278F4769"/>
    <w:multiLevelType w:val="multilevel"/>
    <w:tmpl w:val="7930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A449FE"/>
    <w:multiLevelType w:val="multilevel"/>
    <w:tmpl w:val="9F28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C876602"/>
    <w:multiLevelType w:val="multilevel"/>
    <w:tmpl w:val="434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1663B2"/>
    <w:multiLevelType w:val="multilevel"/>
    <w:tmpl w:val="D10E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30518E"/>
    <w:multiLevelType w:val="multilevel"/>
    <w:tmpl w:val="E5E4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8B4133"/>
    <w:multiLevelType w:val="multilevel"/>
    <w:tmpl w:val="FE48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B77C25"/>
    <w:multiLevelType w:val="multilevel"/>
    <w:tmpl w:val="86B43D1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E43B6E"/>
    <w:multiLevelType w:val="multilevel"/>
    <w:tmpl w:val="92E6FF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36790010"/>
    <w:multiLevelType w:val="multilevel"/>
    <w:tmpl w:val="31421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7C65C70"/>
    <w:multiLevelType w:val="multilevel"/>
    <w:tmpl w:val="EF04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8664EA4"/>
    <w:multiLevelType w:val="multilevel"/>
    <w:tmpl w:val="7DC2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BB662DF"/>
    <w:multiLevelType w:val="multilevel"/>
    <w:tmpl w:val="92E6FF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3C053CC2"/>
    <w:multiLevelType w:val="multilevel"/>
    <w:tmpl w:val="194E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593347"/>
    <w:multiLevelType w:val="multilevel"/>
    <w:tmpl w:val="C37A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BC7545"/>
    <w:multiLevelType w:val="multilevel"/>
    <w:tmpl w:val="3DF2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F001C77"/>
    <w:multiLevelType w:val="multilevel"/>
    <w:tmpl w:val="819EF9A4"/>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9" w15:restartNumberingAfterBreak="0">
    <w:nsid w:val="3FFA0A1A"/>
    <w:multiLevelType w:val="multilevel"/>
    <w:tmpl w:val="5C0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CA28F3"/>
    <w:multiLevelType w:val="multilevel"/>
    <w:tmpl w:val="6836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2CF4861"/>
    <w:multiLevelType w:val="multilevel"/>
    <w:tmpl w:val="0FB6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3E436DE"/>
    <w:multiLevelType w:val="multilevel"/>
    <w:tmpl w:val="2328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8B102AE"/>
    <w:multiLevelType w:val="multilevel"/>
    <w:tmpl w:val="85F8F9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8834F3"/>
    <w:multiLevelType w:val="multilevel"/>
    <w:tmpl w:val="3120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56160F"/>
    <w:multiLevelType w:val="multilevel"/>
    <w:tmpl w:val="F1BE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A8345E7"/>
    <w:multiLevelType w:val="multilevel"/>
    <w:tmpl w:val="C302B884"/>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b/>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7" w15:restartNumberingAfterBreak="0">
    <w:nsid w:val="4B791426"/>
    <w:multiLevelType w:val="multilevel"/>
    <w:tmpl w:val="76A6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E6F3544"/>
    <w:multiLevelType w:val="multilevel"/>
    <w:tmpl w:val="6324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EC4766B"/>
    <w:multiLevelType w:val="multilevel"/>
    <w:tmpl w:val="925A2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036472"/>
    <w:multiLevelType w:val="multilevel"/>
    <w:tmpl w:val="86A6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F111474"/>
    <w:multiLevelType w:val="multilevel"/>
    <w:tmpl w:val="C368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FC20BE3"/>
    <w:multiLevelType w:val="multilevel"/>
    <w:tmpl w:val="4E2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FDD1863"/>
    <w:multiLevelType w:val="multilevel"/>
    <w:tmpl w:val="7AD2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0825255"/>
    <w:multiLevelType w:val="multilevel"/>
    <w:tmpl w:val="B714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13B79D9"/>
    <w:multiLevelType w:val="multilevel"/>
    <w:tmpl w:val="9F0C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2D33F3D"/>
    <w:multiLevelType w:val="multilevel"/>
    <w:tmpl w:val="85CEA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3231D6C"/>
    <w:multiLevelType w:val="multilevel"/>
    <w:tmpl w:val="B86CB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3C26EFB"/>
    <w:multiLevelType w:val="multilevel"/>
    <w:tmpl w:val="AB267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5BA08C6"/>
    <w:multiLevelType w:val="multilevel"/>
    <w:tmpl w:val="6E1C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5FE4AB8"/>
    <w:multiLevelType w:val="multilevel"/>
    <w:tmpl w:val="7376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63A334B"/>
    <w:multiLevelType w:val="multilevel"/>
    <w:tmpl w:val="DD64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6DD2AD1"/>
    <w:multiLevelType w:val="multilevel"/>
    <w:tmpl w:val="9448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7757A66"/>
    <w:multiLevelType w:val="multilevel"/>
    <w:tmpl w:val="D014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CA60F34"/>
    <w:multiLevelType w:val="multilevel"/>
    <w:tmpl w:val="FAF6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D2C33EB"/>
    <w:multiLevelType w:val="multilevel"/>
    <w:tmpl w:val="019A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D37591D"/>
    <w:multiLevelType w:val="multilevel"/>
    <w:tmpl w:val="10D6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DAC5718"/>
    <w:multiLevelType w:val="multilevel"/>
    <w:tmpl w:val="0DE68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DB063CA"/>
    <w:multiLevelType w:val="multilevel"/>
    <w:tmpl w:val="304AD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F4233C6"/>
    <w:multiLevelType w:val="multilevel"/>
    <w:tmpl w:val="BCA8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F5D31FA"/>
    <w:multiLevelType w:val="multilevel"/>
    <w:tmpl w:val="15084C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FD074AF"/>
    <w:multiLevelType w:val="multilevel"/>
    <w:tmpl w:val="43602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13D3A36"/>
    <w:multiLevelType w:val="multilevel"/>
    <w:tmpl w:val="BAAA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16646C4"/>
    <w:multiLevelType w:val="multilevel"/>
    <w:tmpl w:val="3FC0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2B50729"/>
    <w:multiLevelType w:val="multilevel"/>
    <w:tmpl w:val="C8EA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3FE56E7"/>
    <w:multiLevelType w:val="multilevel"/>
    <w:tmpl w:val="686A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64E7975"/>
    <w:multiLevelType w:val="multilevel"/>
    <w:tmpl w:val="942AA1B2"/>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lvlText w:val="1.1.1.1.%4"/>
      <w:lvlJc w:val="left"/>
      <w:pPr>
        <w:ind w:left="720" w:hanging="3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67410871"/>
    <w:multiLevelType w:val="multilevel"/>
    <w:tmpl w:val="FC2A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8432B81"/>
    <w:multiLevelType w:val="multilevel"/>
    <w:tmpl w:val="4690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86B1F63"/>
    <w:multiLevelType w:val="multilevel"/>
    <w:tmpl w:val="9DEC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9095754"/>
    <w:multiLevelType w:val="multilevel"/>
    <w:tmpl w:val="CDF6D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91650E1"/>
    <w:multiLevelType w:val="multilevel"/>
    <w:tmpl w:val="1764C97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3B55D4"/>
    <w:multiLevelType w:val="multilevel"/>
    <w:tmpl w:val="F88A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DA46EF1"/>
    <w:multiLevelType w:val="multilevel"/>
    <w:tmpl w:val="E1E2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32204F"/>
    <w:multiLevelType w:val="multilevel"/>
    <w:tmpl w:val="57AC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08D0FEC"/>
    <w:multiLevelType w:val="multilevel"/>
    <w:tmpl w:val="92E6FF6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71081DDB"/>
    <w:multiLevelType w:val="multilevel"/>
    <w:tmpl w:val="3012824E"/>
    <w:lvl w:ilvl="0">
      <w:start w:val="3"/>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7" w15:restartNumberingAfterBreak="0">
    <w:nsid w:val="72EC1D8A"/>
    <w:multiLevelType w:val="multilevel"/>
    <w:tmpl w:val="EAB0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4F06A68"/>
    <w:multiLevelType w:val="multilevel"/>
    <w:tmpl w:val="F214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56D217F"/>
    <w:multiLevelType w:val="multilevel"/>
    <w:tmpl w:val="6C9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7A01566"/>
    <w:multiLevelType w:val="multilevel"/>
    <w:tmpl w:val="3848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7DE4B36"/>
    <w:multiLevelType w:val="multilevel"/>
    <w:tmpl w:val="4E12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B3334DB"/>
    <w:multiLevelType w:val="multilevel"/>
    <w:tmpl w:val="C0EA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F8B54A2"/>
    <w:multiLevelType w:val="multilevel"/>
    <w:tmpl w:val="46D2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FC8694D"/>
    <w:multiLevelType w:val="multilevel"/>
    <w:tmpl w:val="FA0E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8095885">
    <w:abstractNumId w:val="46"/>
  </w:num>
  <w:num w:numId="2" w16cid:durableId="635137702">
    <w:abstractNumId w:val="76"/>
  </w:num>
  <w:num w:numId="3" w16cid:durableId="734163380">
    <w:abstractNumId w:val="84"/>
  </w:num>
  <w:num w:numId="4" w16cid:durableId="1388265647">
    <w:abstractNumId w:val="63"/>
  </w:num>
  <w:num w:numId="5" w16cid:durableId="2084176226">
    <w:abstractNumId w:val="43"/>
  </w:num>
  <w:num w:numId="6" w16cid:durableId="956910481">
    <w:abstractNumId w:val="24"/>
  </w:num>
  <w:num w:numId="7" w16cid:durableId="155388511">
    <w:abstractNumId w:val="17"/>
  </w:num>
  <w:num w:numId="8" w16cid:durableId="629553652">
    <w:abstractNumId w:val="2"/>
  </w:num>
  <w:num w:numId="9" w16cid:durableId="1549800353">
    <w:abstractNumId w:val="93"/>
  </w:num>
  <w:num w:numId="10" w16cid:durableId="1687172446">
    <w:abstractNumId w:val="52"/>
  </w:num>
  <w:num w:numId="11" w16cid:durableId="1562868535">
    <w:abstractNumId w:val="69"/>
  </w:num>
  <w:num w:numId="12" w16cid:durableId="258174215">
    <w:abstractNumId w:val="7"/>
  </w:num>
  <w:num w:numId="13" w16cid:durableId="1433553316">
    <w:abstractNumId w:val="91"/>
  </w:num>
  <w:num w:numId="14" w16cid:durableId="822964216">
    <w:abstractNumId w:val="78"/>
  </w:num>
  <w:num w:numId="15" w16cid:durableId="703821667">
    <w:abstractNumId w:val="89"/>
  </w:num>
  <w:num w:numId="16" w16cid:durableId="499396644">
    <w:abstractNumId w:val="83"/>
  </w:num>
  <w:num w:numId="17" w16cid:durableId="500199098">
    <w:abstractNumId w:val="5"/>
  </w:num>
  <w:num w:numId="18" w16cid:durableId="999383537">
    <w:abstractNumId w:val="50"/>
  </w:num>
  <w:num w:numId="19" w16cid:durableId="1830173743">
    <w:abstractNumId w:val="13"/>
  </w:num>
  <w:num w:numId="20" w16cid:durableId="1225023936">
    <w:abstractNumId w:val="9"/>
  </w:num>
  <w:num w:numId="21" w16cid:durableId="128017107">
    <w:abstractNumId w:val="65"/>
  </w:num>
  <w:num w:numId="22" w16cid:durableId="1962375447">
    <w:abstractNumId w:val="8"/>
  </w:num>
  <w:num w:numId="23" w16cid:durableId="1946502788">
    <w:abstractNumId w:val="41"/>
  </w:num>
  <w:num w:numId="24" w16cid:durableId="1535776157">
    <w:abstractNumId w:val="3"/>
  </w:num>
  <w:num w:numId="25" w16cid:durableId="335039402">
    <w:abstractNumId w:val="74"/>
  </w:num>
  <w:num w:numId="26" w16cid:durableId="26685204">
    <w:abstractNumId w:val="87"/>
  </w:num>
  <w:num w:numId="27" w16cid:durableId="1334214295">
    <w:abstractNumId w:val="32"/>
  </w:num>
  <w:num w:numId="28" w16cid:durableId="334304886">
    <w:abstractNumId w:val="47"/>
  </w:num>
  <w:num w:numId="29" w16cid:durableId="1784113459">
    <w:abstractNumId w:val="55"/>
  </w:num>
  <w:num w:numId="30" w16cid:durableId="996569534">
    <w:abstractNumId w:val="20"/>
  </w:num>
  <w:num w:numId="31" w16cid:durableId="43528764">
    <w:abstractNumId w:val="75"/>
  </w:num>
  <w:num w:numId="32" w16cid:durableId="162278452">
    <w:abstractNumId w:val="77"/>
  </w:num>
  <w:num w:numId="33" w16cid:durableId="586577930">
    <w:abstractNumId w:val="6"/>
  </w:num>
  <w:num w:numId="34" w16cid:durableId="927007851">
    <w:abstractNumId w:val="64"/>
  </w:num>
  <w:num w:numId="35" w16cid:durableId="1111165459">
    <w:abstractNumId w:val="19"/>
  </w:num>
  <w:num w:numId="36" w16cid:durableId="1676573138">
    <w:abstractNumId w:val="15"/>
  </w:num>
  <w:num w:numId="37" w16cid:durableId="1690643401">
    <w:abstractNumId w:val="53"/>
  </w:num>
  <w:num w:numId="38" w16cid:durableId="1886142381">
    <w:abstractNumId w:val="4"/>
  </w:num>
  <w:num w:numId="39" w16cid:durableId="896167678">
    <w:abstractNumId w:val="11"/>
  </w:num>
  <w:num w:numId="40" w16cid:durableId="1903321610">
    <w:abstractNumId w:val="45"/>
  </w:num>
  <w:num w:numId="41" w16cid:durableId="1547523585">
    <w:abstractNumId w:val="73"/>
  </w:num>
  <w:num w:numId="42" w16cid:durableId="1602687155">
    <w:abstractNumId w:val="28"/>
  </w:num>
  <w:num w:numId="43" w16cid:durableId="441611601">
    <w:abstractNumId w:val="57"/>
  </w:num>
  <w:num w:numId="44" w16cid:durableId="1882596078">
    <w:abstractNumId w:val="0"/>
  </w:num>
  <w:num w:numId="45" w16cid:durableId="696665287">
    <w:abstractNumId w:val="27"/>
  </w:num>
  <w:num w:numId="46" w16cid:durableId="1677875794">
    <w:abstractNumId w:val="60"/>
  </w:num>
  <w:num w:numId="47" w16cid:durableId="156725356">
    <w:abstractNumId w:val="58"/>
  </w:num>
  <w:num w:numId="48" w16cid:durableId="462114447">
    <w:abstractNumId w:val="39"/>
  </w:num>
  <w:num w:numId="49" w16cid:durableId="1132988441">
    <w:abstractNumId w:val="10"/>
  </w:num>
  <w:num w:numId="50" w16cid:durableId="1376663467">
    <w:abstractNumId w:val="51"/>
  </w:num>
  <w:num w:numId="51" w16cid:durableId="991563702">
    <w:abstractNumId w:val="82"/>
  </w:num>
  <w:num w:numId="52" w16cid:durableId="110906331">
    <w:abstractNumId w:val="72"/>
  </w:num>
  <w:num w:numId="53" w16cid:durableId="1898122268">
    <w:abstractNumId w:val="61"/>
  </w:num>
  <w:num w:numId="54" w16cid:durableId="1358432448">
    <w:abstractNumId w:val="31"/>
  </w:num>
  <w:num w:numId="55" w16cid:durableId="1401363719">
    <w:abstractNumId w:val="70"/>
  </w:num>
  <w:num w:numId="56" w16cid:durableId="1155494704">
    <w:abstractNumId w:val="48"/>
  </w:num>
  <w:num w:numId="57" w16cid:durableId="778569164">
    <w:abstractNumId w:val="36"/>
  </w:num>
  <w:num w:numId="58" w16cid:durableId="1604875628">
    <w:abstractNumId w:val="21"/>
  </w:num>
  <w:num w:numId="59" w16cid:durableId="641350858">
    <w:abstractNumId w:val="90"/>
  </w:num>
  <w:num w:numId="60" w16cid:durableId="1098334793">
    <w:abstractNumId w:val="56"/>
  </w:num>
  <w:num w:numId="61" w16cid:durableId="91127174">
    <w:abstractNumId w:val="26"/>
  </w:num>
  <w:num w:numId="62" w16cid:durableId="1816795262">
    <w:abstractNumId w:val="68"/>
  </w:num>
  <w:num w:numId="63" w16cid:durableId="100415369">
    <w:abstractNumId w:val="54"/>
  </w:num>
  <w:num w:numId="64" w16cid:durableId="1873376432">
    <w:abstractNumId w:val="42"/>
  </w:num>
  <w:num w:numId="65" w16cid:durableId="902915019">
    <w:abstractNumId w:val="44"/>
  </w:num>
  <w:num w:numId="66" w16cid:durableId="1549683803">
    <w:abstractNumId w:val="35"/>
  </w:num>
  <w:num w:numId="67" w16cid:durableId="794523018">
    <w:abstractNumId w:val="1"/>
  </w:num>
  <w:num w:numId="68" w16cid:durableId="689643722">
    <w:abstractNumId w:val="94"/>
  </w:num>
  <w:num w:numId="69" w16cid:durableId="2060549400">
    <w:abstractNumId w:val="12"/>
  </w:num>
  <w:num w:numId="70" w16cid:durableId="513031636">
    <w:abstractNumId w:val="66"/>
  </w:num>
  <w:num w:numId="71" w16cid:durableId="1915897214">
    <w:abstractNumId w:val="33"/>
  </w:num>
  <w:num w:numId="72" w16cid:durableId="1884248101">
    <w:abstractNumId w:val="25"/>
  </w:num>
  <w:num w:numId="73" w16cid:durableId="939491022">
    <w:abstractNumId w:val="62"/>
  </w:num>
  <w:num w:numId="74" w16cid:durableId="43141327">
    <w:abstractNumId w:val="80"/>
  </w:num>
  <w:num w:numId="75" w16cid:durableId="733702631">
    <w:abstractNumId w:val="81"/>
  </w:num>
  <w:num w:numId="76" w16cid:durableId="295381767">
    <w:abstractNumId w:val="49"/>
  </w:num>
  <w:num w:numId="77" w16cid:durableId="783692298">
    <w:abstractNumId w:val="59"/>
  </w:num>
  <w:num w:numId="78" w16cid:durableId="1538002405">
    <w:abstractNumId w:val="37"/>
  </w:num>
  <w:num w:numId="79" w16cid:durableId="843327195">
    <w:abstractNumId w:val="71"/>
  </w:num>
  <w:num w:numId="80" w16cid:durableId="1742826682">
    <w:abstractNumId w:val="16"/>
  </w:num>
  <w:num w:numId="81" w16cid:durableId="1721976684">
    <w:abstractNumId w:val="23"/>
  </w:num>
  <w:num w:numId="82" w16cid:durableId="1650675216">
    <w:abstractNumId w:val="29"/>
  </w:num>
  <w:num w:numId="83" w16cid:durableId="767775301">
    <w:abstractNumId w:val="88"/>
  </w:num>
  <w:num w:numId="84" w16cid:durableId="801506085">
    <w:abstractNumId w:val="67"/>
  </w:num>
  <w:num w:numId="85" w16cid:durableId="900140779">
    <w:abstractNumId w:val="34"/>
  </w:num>
  <w:num w:numId="86" w16cid:durableId="250892860">
    <w:abstractNumId w:val="40"/>
  </w:num>
  <w:num w:numId="87" w16cid:durableId="814758837">
    <w:abstractNumId w:val="30"/>
  </w:num>
  <w:num w:numId="88" w16cid:durableId="1223755046">
    <w:abstractNumId w:val="86"/>
  </w:num>
  <w:num w:numId="89" w16cid:durableId="294869166">
    <w:abstractNumId w:val="22"/>
  </w:num>
  <w:num w:numId="90" w16cid:durableId="2019229914">
    <w:abstractNumId w:val="85"/>
  </w:num>
  <w:num w:numId="91" w16cid:durableId="1562717322">
    <w:abstractNumId w:val="79"/>
  </w:num>
  <w:num w:numId="92" w16cid:durableId="2084182157">
    <w:abstractNumId w:val="92"/>
  </w:num>
  <w:num w:numId="93" w16cid:durableId="318382521">
    <w:abstractNumId w:val="14"/>
  </w:num>
  <w:num w:numId="94" w16cid:durableId="1517647316">
    <w:abstractNumId w:val="18"/>
  </w:num>
  <w:num w:numId="95" w16cid:durableId="1198393482">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09"/>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BE8"/>
    <w:rsid w:val="00002CC4"/>
    <w:rsid w:val="00003FB6"/>
    <w:rsid w:val="00006CD1"/>
    <w:rsid w:val="00010F58"/>
    <w:rsid w:val="000119FF"/>
    <w:rsid w:val="000122EA"/>
    <w:rsid w:val="00014142"/>
    <w:rsid w:val="00015FA6"/>
    <w:rsid w:val="000173F0"/>
    <w:rsid w:val="00020522"/>
    <w:rsid w:val="0002117C"/>
    <w:rsid w:val="00021CEF"/>
    <w:rsid w:val="00022311"/>
    <w:rsid w:val="00022CAC"/>
    <w:rsid w:val="0002383E"/>
    <w:rsid w:val="000245F7"/>
    <w:rsid w:val="00025149"/>
    <w:rsid w:val="000271C5"/>
    <w:rsid w:val="000355A2"/>
    <w:rsid w:val="00036294"/>
    <w:rsid w:val="00036F40"/>
    <w:rsid w:val="0004026F"/>
    <w:rsid w:val="000406B8"/>
    <w:rsid w:val="00041115"/>
    <w:rsid w:val="000420F5"/>
    <w:rsid w:val="000423CB"/>
    <w:rsid w:val="00043109"/>
    <w:rsid w:val="00043DBE"/>
    <w:rsid w:val="000453FF"/>
    <w:rsid w:val="00046EDB"/>
    <w:rsid w:val="00051A48"/>
    <w:rsid w:val="000539F0"/>
    <w:rsid w:val="00053BFA"/>
    <w:rsid w:val="000543F3"/>
    <w:rsid w:val="0005464B"/>
    <w:rsid w:val="0006061B"/>
    <w:rsid w:val="00060C05"/>
    <w:rsid w:val="00064B3E"/>
    <w:rsid w:val="00066198"/>
    <w:rsid w:val="00067CAA"/>
    <w:rsid w:val="00075EF1"/>
    <w:rsid w:val="00077A44"/>
    <w:rsid w:val="000827FD"/>
    <w:rsid w:val="00083728"/>
    <w:rsid w:val="00084817"/>
    <w:rsid w:val="000878CD"/>
    <w:rsid w:val="00087E82"/>
    <w:rsid w:val="00092334"/>
    <w:rsid w:val="00095251"/>
    <w:rsid w:val="00095554"/>
    <w:rsid w:val="000A014E"/>
    <w:rsid w:val="000A19E7"/>
    <w:rsid w:val="000A4335"/>
    <w:rsid w:val="000A5261"/>
    <w:rsid w:val="000A5AA3"/>
    <w:rsid w:val="000A7188"/>
    <w:rsid w:val="000B3101"/>
    <w:rsid w:val="000B3921"/>
    <w:rsid w:val="000B3E73"/>
    <w:rsid w:val="000B5D60"/>
    <w:rsid w:val="000C2E34"/>
    <w:rsid w:val="000C32AC"/>
    <w:rsid w:val="000C5061"/>
    <w:rsid w:val="000D1D04"/>
    <w:rsid w:val="000D201C"/>
    <w:rsid w:val="000D40E3"/>
    <w:rsid w:val="000D49C0"/>
    <w:rsid w:val="000D4C09"/>
    <w:rsid w:val="000D6AFA"/>
    <w:rsid w:val="000D6E52"/>
    <w:rsid w:val="000D79AF"/>
    <w:rsid w:val="000E0842"/>
    <w:rsid w:val="000E0DCE"/>
    <w:rsid w:val="000E265F"/>
    <w:rsid w:val="000E374E"/>
    <w:rsid w:val="000E611B"/>
    <w:rsid w:val="000E71CE"/>
    <w:rsid w:val="000F32DB"/>
    <w:rsid w:val="000F60FC"/>
    <w:rsid w:val="000F68EE"/>
    <w:rsid w:val="000F7F4B"/>
    <w:rsid w:val="00100E57"/>
    <w:rsid w:val="00101D71"/>
    <w:rsid w:val="001023A3"/>
    <w:rsid w:val="001037F0"/>
    <w:rsid w:val="00104845"/>
    <w:rsid w:val="0010488C"/>
    <w:rsid w:val="00110649"/>
    <w:rsid w:val="001109E9"/>
    <w:rsid w:val="00112364"/>
    <w:rsid w:val="00114426"/>
    <w:rsid w:val="00116C77"/>
    <w:rsid w:val="00117FF9"/>
    <w:rsid w:val="00122D0C"/>
    <w:rsid w:val="00124F66"/>
    <w:rsid w:val="0013016D"/>
    <w:rsid w:val="00134393"/>
    <w:rsid w:val="00134FD1"/>
    <w:rsid w:val="0014004F"/>
    <w:rsid w:val="00141A86"/>
    <w:rsid w:val="001430F6"/>
    <w:rsid w:val="00144559"/>
    <w:rsid w:val="00144D01"/>
    <w:rsid w:val="0014622C"/>
    <w:rsid w:val="001476B9"/>
    <w:rsid w:val="001524BA"/>
    <w:rsid w:val="001575A2"/>
    <w:rsid w:val="00160047"/>
    <w:rsid w:val="00160D7E"/>
    <w:rsid w:val="0016136C"/>
    <w:rsid w:val="001701A4"/>
    <w:rsid w:val="0017198B"/>
    <w:rsid w:val="00171E0B"/>
    <w:rsid w:val="0017420D"/>
    <w:rsid w:val="001747A0"/>
    <w:rsid w:val="00175FF6"/>
    <w:rsid w:val="0018065F"/>
    <w:rsid w:val="0018092B"/>
    <w:rsid w:val="001819A4"/>
    <w:rsid w:val="001826CC"/>
    <w:rsid w:val="00182A87"/>
    <w:rsid w:val="00184C57"/>
    <w:rsid w:val="00185517"/>
    <w:rsid w:val="00186DF8"/>
    <w:rsid w:val="001874A4"/>
    <w:rsid w:val="00191E01"/>
    <w:rsid w:val="001943D0"/>
    <w:rsid w:val="00194D10"/>
    <w:rsid w:val="001972BD"/>
    <w:rsid w:val="00197FF3"/>
    <w:rsid w:val="001A0DDC"/>
    <w:rsid w:val="001A113E"/>
    <w:rsid w:val="001A1BA6"/>
    <w:rsid w:val="001A3906"/>
    <w:rsid w:val="001A418A"/>
    <w:rsid w:val="001A42BB"/>
    <w:rsid w:val="001A492B"/>
    <w:rsid w:val="001A565D"/>
    <w:rsid w:val="001A63D6"/>
    <w:rsid w:val="001A69DE"/>
    <w:rsid w:val="001B0659"/>
    <w:rsid w:val="001B6C75"/>
    <w:rsid w:val="001C05E9"/>
    <w:rsid w:val="001C0DA7"/>
    <w:rsid w:val="001C39A8"/>
    <w:rsid w:val="001C4C96"/>
    <w:rsid w:val="001C5506"/>
    <w:rsid w:val="001C788C"/>
    <w:rsid w:val="001C79C1"/>
    <w:rsid w:val="001D040A"/>
    <w:rsid w:val="001D246E"/>
    <w:rsid w:val="001D4F2C"/>
    <w:rsid w:val="001D5AA8"/>
    <w:rsid w:val="001E2B0F"/>
    <w:rsid w:val="001F0504"/>
    <w:rsid w:val="001F14E1"/>
    <w:rsid w:val="001F1F95"/>
    <w:rsid w:val="001F410D"/>
    <w:rsid w:val="001F5B2B"/>
    <w:rsid w:val="001F7F09"/>
    <w:rsid w:val="002000A2"/>
    <w:rsid w:val="0020090E"/>
    <w:rsid w:val="00200D30"/>
    <w:rsid w:val="0020202D"/>
    <w:rsid w:val="00202112"/>
    <w:rsid w:val="00202202"/>
    <w:rsid w:val="00202460"/>
    <w:rsid w:val="00202714"/>
    <w:rsid w:val="0020458B"/>
    <w:rsid w:val="00204E34"/>
    <w:rsid w:val="00205238"/>
    <w:rsid w:val="0020616C"/>
    <w:rsid w:val="0020681D"/>
    <w:rsid w:val="0020712F"/>
    <w:rsid w:val="002103AF"/>
    <w:rsid w:val="002103FF"/>
    <w:rsid w:val="0021050E"/>
    <w:rsid w:val="00210952"/>
    <w:rsid w:val="002118FB"/>
    <w:rsid w:val="0021446B"/>
    <w:rsid w:val="00215147"/>
    <w:rsid w:val="002157C4"/>
    <w:rsid w:val="00217C79"/>
    <w:rsid w:val="00225481"/>
    <w:rsid w:val="002259BF"/>
    <w:rsid w:val="00225D52"/>
    <w:rsid w:val="00226060"/>
    <w:rsid w:val="00226299"/>
    <w:rsid w:val="002307C3"/>
    <w:rsid w:val="0023144A"/>
    <w:rsid w:val="00233CDC"/>
    <w:rsid w:val="00234B02"/>
    <w:rsid w:val="00237A36"/>
    <w:rsid w:val="0024008F"/>
    <w:rsid w:val="00245024"/>
    <w:rsid w:val="00245D21"/>
    <w:rsid w:val="00246A2A"/>
    <w:rsid w:val="00246BFA"/>
    <w:rsid w:val="00250078"/>
    <w:rsid w:val="00251B24"/>
    <w:rsid w:val="0025326C"/>
    <w:rsid w:val="00254AB7"/>
    <w:rsid w:val="00256C6E"/>
    <w:rsid w:val="00263111"/>
    <w:rsid w:val="002638F5"/>
    <w:rsid w:val="002640E4"/>
    <w:rsid w:val="0026455A"/>
    <w:rsid w:val="00264C61"/>
    <w:rsid w:val="0026660D"/>
    <w:rsid w:val="00272D1F"/>
    <w:rsid w:val="0027368D"/>
    <w:rsid w:val="00276661"/>
    <w:rsid w:val="00277297"/>
    <w:rsid w:val="00281889"/>
    <w:rsid w:val="00281954"/>
    <w:rsid w:val="00282F3A"/>
    <w:rsid w:val="00287745"/>
    <w:rsid w:val="00287B0E"/>
    <w:rsid w:val="00287F05"/>
    <w:rsid w:val="00290211"/>
    <w:rsid w:val="00290EDF"/>
    <w:rsid w:val="00292019"/>
    <w:rsid w:val="002958CC"/>
    <w:rsid w:val="002A0AF5"/>
    <w:rsid w:val="002A16B1"/>
    <w:rsid w:val="002A212A"/>
    <w:rsid w:val="002A3BB3"/>
    <w:rsid w:val="002B19F1"/>
    <w:rsid w:val="002B1C20"/>
    <w:rsid w:val="002C0748"/>
    <w:rsid w:val="002C0C30"/>
    <w:rsid w:val="002C40CE"/>
    <w:rsid w:val="002C49BE"/>
    <w:rsid w:val="002C5C14"/>
    <w:rsid w:val="002C5FF4"/>
    <w:rsid w:val="002C635B"/>
    <w:rsid w:val="002C6EFA"/>
    <w:rsid w:val="002C7E50"/>
    <w:rsid w:val="002D2CE0"/>
    <w:rsid w:val="002D3601"/>
    <w:rsid w:val="002D71BA"/>
    <w:rsid w:val="002E09B9"/>
    <w:rsid w:val="002E7A9F"/>
    <w:rsid w:val="002F189E"/>
    <w:rsid w:val="002F623C"/>
    <w:rsid w:val="002F6F66"/>
    <w:rsid w:val="002F70EC"/>
    <w:rsid w:val="002F7225"/>
    <w:rsid w:val="002F7DB4"/>
    <w:rsid w:val="003020BD"/>
    <w:rsid w:val="00302D39"/>
    <w:rsid w:val="00303B59"/>
    <w:rsid w:val="00305983"/>
    <w:rsid w:val="0030628E"/>
    <w:rsid w:val="0031233B"/>
    <w:rsid w:val="003211A2"/>
    <w:rsid w:val="003212CB"/>
    <w:rsid w:val="0032300B"/>
    <w:rsid w:val="00325083"/>
    <w:rsid w:val="00327D07"/>
    <w:rsid w:val="00330BE8"/>
    <w:rsid w:val="00332A79"/>
    <w:rsid w:val="00333EB6"/>
    <w:rsid w:val="003342DC"/>
    <w:rsid w:val="00335071"/>
    <w:rsid w:val="00342CCF"/>
    <w:rsid w:val="003432AE"/>
    <w:rsid w:val="003455B5"/>
    <w:rsid w:val="00346BDA"/>
    <w:rsid w:val="00352180"/>
    <w:rsid w:val="003546A1"/>
    <w:rsid w:val="00357157"/>
    <w:rsid w:val="00365437"/>
    <w:rsid w:val="00367461"/>
    <w:rsid w:val="00367E70"/>
    <w:rsid w:val="003702C8"/>
    <w:rsid w:val="003747DB"/>
    <w:rsid w:val="003749BD"/>
    <w:rsid w:val="00375CEE"/>
    <w:rsid w:val="003761EF"/>
    <w:rsid w:val="00380D7A"/>
    <w:rsid w:val="00381506"/>
    <w:rsid w:val="00386886"/>
    <w:rsid w:val="00387CC8"/>
    <w:rsid w:val="003906C9"/>
    <w:rsid w:val="003941F1"/>
    <w:rsid w:val="003A26DC"/>
    <w:rsid w:val="003B0822"/>
    <w:rsid w:val="003B4BCF"/>
    <w:rsid w:val="003B62D3"/>
    <w:rsid w:val="003B7A37"/>
    <w:rsid w:val="003C0433"/>
    <w:rsid w:val="003C251B"/>
    <w:rsid w:val="003C26A0"/>
    <w:rsid w:val="003C598E"/>
    <w:rsid w:val="003C5BDA"/>
    <w:rsid w:val="003C6747"/>
    <w:rsid w:val="003D00E4"/>
    <w:rsid w:val="003D0830"/>
    <w:rsid w:val="003D4920"/>
    <w:rsid w:val="003D4E15"/>
    <w:rsid w:val="003E1EB3"/>
    <w:rsid w:val="003E361C"/>
    <w:rsid w:val="003E5095"/>
    <w:rsid w:val="003E5290"/>
    <w:rsid w:val="003E6853"/>
    <w:rsid w:val="003E7FFC"/>
    <w:rsid w:val="003F049B"/>
    <w:rsid w:val="003F0ABD"/>
    <w:rsid w:val="003F190A"/>
    <w:rsid w:val="003F2A14"/>
    <w:rsid w:val="003F2D65"/>
    <w:rsid w:val="003F4911"/>
    <w:rsid w:val="003F5018"/>
    <w:rsid w:val="00401B2C"/>
    <w:rsid w:val="00402F8E"/>
    <w:rsid w:val="004042A2"/>
    <w:rsid w:val="00404AB8"/>
    <w:rsid w:val="004067E2"/>
    <w:rsid w:val="00406D4C"/>
    <w:rsid w:val="004150C3"/>
    <w:rsid w:val="0041591C"/>
    <w:rsid w:val="004176B0"/>
    <w:rsid w:val="0042103F"/>
    <w:rsid w:val="004214E0"/>
    <w:rsid w:val="004224D3"/>
    <w:rsid w:val="00422B99"/>
    <w:rsid w:val="00427549"/>
    <w:rsid w:val="0042772B"/>
    <w:rsid w:val="00427A44"/>
    <w:rsid w:val="00430D45"/>
    <w:rsid w:val="00433C25"/>
    <w:rsid w:val="004341C1"/>
    <w:rsid w:val="004352F6"/>
    <w:rsid w:val="004356EF"/>
    <w:rsid w:val="00442D3D"/>
    <w:rsid w:val="00442EF9"/>
    <w:rsid w:val="00443F77"/>
    <w:rsid w:val="00446067"/>
    <w:rsid w:val="0044627C"/>
    <w:rsid w:val="00460009"/>
    <w:rsid w:val="0046330C"/>
    <w:rsid w:val="00463E1C"/>
    <w:rsid w:val="00465FDC"/>
    <w:rsid w:val="00471698"/>
    <w:rsid w:val="00475DA0"/>
    <w:rsid w:val="0047642A"/>
    <w:rsid w:val="0048261C"/>
    <w:rsid w:val="00482E59"/>
    <w:rsid w:val="00483614"/>
    <w:rsid w:val="004856A9"/>
    <w:rsid w:val="00485A4D"/>
    <w:rsid w:val="0048619C"/>
    <w:rsid w:val="00487AEB"/>
    <w:rsid w:val="00487D50"/>
    <w:rsid w:val="00490932"/>
    <w:rsid w:val="0049130A"/>
    <w:rsid w:val="004924D6"/>
    <w:rsid w:val="004938E8"/>
    <w:rsid w:val="004A43A6"/>
    <w:rsid w:val="004A479F"/>
    <w:rsid w:val="004A6DDD"/>
    <w:rsid w:val="004B10DC"/>
    <w:rsid w:val="004B2281"/>
    <w:rsid w:val="004C05E2"/>
    <w:rsid w:val="004C0A3A"/>
    <w:rsid w:val="004C26A0"/>
    <w:rsid w:val="004C4FA7"/>
    <w:rsid w:val="004D0019"/>
    <w:rsid w:val="004D10FB"/>
    <w:rsid w:val="004D1612"/>
    <w:rsid w:val="004D35B2"/>
    <w:rsid w:val="004D6262"/>
    <w:rsid w:val="004D678A"/>
    <w:rsid w:val="004E3C8F"/>
    <w:rsid w:val="004E4CA7"/>
    <w:rsid w:val="004F55F3"/>
    <w:rsid w:val="004F5951"/>
    <w:rsid w:val="004F664E"/>
    <w:rsid w:val="00501DAF"/>
    <w:rsid w:val="00501F8D"/>
    <w:rsid w:val="00503CDA"/>
    <w:rsid w:val="005042A1"/>
    <w:rsid w:val="00506A3A"/>
    <w:rsid w:val="005076FC"/>
    <w:rsid w:val="00513D7A"/>
    <w:rsid w:val="00516596"/>
    <w:rsid w:val="00520B6B"/>
    <w:rsid w:val="0052195A"/>
    <w:rsid w:val="00524045"/>
    <w:rsid w:val="005240E4"/>
    <w:rsid w:val="00524ADA"/>
    <w:rsid w:val="00524C9C"/>
    <w:rsid w:val="00525527"/>
    <w:rsid w:val="005377EF"/>
    <w:rsid w:val="005414F3"/>
    <w:rsid w:val="00541B2F"/>
    <w:rsid w:val="005422F2"/>
    <w:rsid w:val="00542C65"/>
    <w:rsid w:val="00543EDA"/>
    <w:rsid w:val="00544116"/>
    <w:rsid w:val="00545108"/>
    <w:rsid w:val="0054699F"/>
    <w:rsid w:val="00547D1A"/>
    <w:rsid w:val="005527A7"/>
    <w:rsid w:val="005535B8"/>
    <w:rsid w:val="00555F38"/>
    <w:rsid w:val="00560134"/>
    <w:rsid w:val="0056031B"/>
    <w:rsid w:val="00562D1F"/>
    <w:rsid w:val="00563E21"/>
    <w:rsid w:val="00564682"/>
    <w:rsid w:val="00567C61"/>
    <w:rsid w:val="00567D46"/>
    <w:rsid w:val="00570218"/>
    <w:rsid w:val="00571B99"/>
    <w:rsid w:val="00572017"/>
    <w:rsid w:val="00572DC1"/>
    <w:rsid w:val="00576792"/>
    <w:rsid w:val="005801E5"/>
    <w:rsid w:val="0058046E"/>
    <w:rsid w:val="00581FDF"/>
    <w:rsid w:val="00582346"/>
    <w:rsid w:val="005823FC"/>
    <w:rsid w:val="005825E4"/>
    <w:rsid w:val="00582F34"/>
    <w:rsid w:val="00584454"/>
    <w:rsid w:val="00590A24"/>
    <w:rsid w:val="00590BEF"/>
    <w:rsid w:val="0059122B"/>
    <w:rsid w:val="005949C6"/>
    <w:rsid w:val="00595ACA"/>
    <w:rsid w:val="0059751F"/>
    <w:rsid w:val="005A1439"/>
    <w:rsid w:val="005A23E5"/>
    <w:rsid w:val="005A375A"/>
    <w:rsid w:val="005A40D7"/>
    <w:rsid w:val="005A5054"/>
    <w:rsid w:val="005A59AA"/>
    <w:rsid w:val="005B47C4"/>
    <w:rsid w:val="005B4940"/>
    <w:rsid w:val="005B63AB"/>
    <w:rsid w:val="005C50DE"/>
    <w:rsid w:val="005C704C"/>
    <w:rsid w:val="005D0664"/>
    <w:rsid w:val="005D0FFE"/>
    <w:rsid w:val="005D2B8D"/>
    <w:rsid w:val="005D317E"/>
    <w:rsid w:val="005D3D16"/>
    <w:rsid w:val="005D462E"/>
    <w:rsid w:val="005D6E8F"/>
    <w:rsid w:val="005D7365"/>
    <w:rsid w:val="005E03CA"/>
    <w:rsid w:val="005E2615"/>
    <w:rsid w:val="005E2F01"/>
    <w:rsid w:val="005E3DBF"/>
    <w:rsid w:val="005E531D"/>
    <w:rsid w:val="005F1689"/>
    <w:rsid w:val="005F22B2"/>
    <w:rsid w:val="005F2482"/>
    <w:rsid w:val="005F2F88"/>
    <w:rsid w:val="005F523F"/>
    <w:rsid w:val="00601562"/>
    <w:rsid w:val="00601772"/>
    <w:rsid w:val="00601E28"/>
    <w:rsid w:val="00603793"/>
    <w:rsid w:val="00606AD1"/>
    <w:rsid w:val="00610C29"/>
    <w:rsid w:val="00613086"/>
    <w:rsid w:val="00615C60"/>
    <w:rsid w:val="006170C0"/>
    <w:rsid w:val="0062292A"/>
    <w:rsid w:val="0062309E"/>
    <w:rsid w:val="0062377B"/>
    <w:rsid w:val="00630DC0"/>
    <w:rsid w:val="0063219D"/>
    <w:rsid w:val="006327D7"/>
    <w:rsid w:val="00632CA3"/>
    <w:rsid w:val="00634F9F"/>
    <w:rsid w:val="00636375"/>
    <w:rsid w:val="00637D43"/>
    <w:rsid w:val="0064031E"/>
    <w:rsid w:val="006440FF"/>
    <w:rsid w:val="00644DFF"/>
    <w:rsid w:val="006464C5"/>
    <w:rsid w:val="00651A6A"/>
    <w:rsid w:val="0065321A"/>
    <w:rsid w:val="00656F3C"/>
    <w:rsid w:val="00661486"/>
    <w:rsid w:val="00662292"/>
    <w:rsid w:val="00662855"/>
    <w:rsid w:val="006631A8"/>
    <w:rsid w:val="00666AB0"/>
    <w:rsid w:val="006704DB"/>
    <w:rsid w:val="00671604"/>
    <w:rsid w:val="00672EC7"/>
    <w:rsid w:val="00673539"/>
    <w:rsid w:val="0067369E"/>
    <w:rsid w:val="00674C7E"/>
    <w:rsid w:val="00675696"/>
    <w:rsid w:val="00677221"/>
    <w:rsid w:val="0068224A"/>
    <w:rsid w:val="00682891"/>
    <w:rsid w:val="006862CA"/>
    <w:rsid w:val="00686643"/>
    <w:rsid w:val="00686C11"/>
    <w:rsid w:val="00687257"/>
    <w:rsid w:val="0069021C"/>
    <w:rsid w:val="00692004"/>
    <w:rsid w:val="00692539"/>
    <w:rsid w:val="00692A87"/>
    <w:rsid w:val="0069440F"/>
    <w:rsid w:val="006948F1"/>
    <w:rsid w:val="0069709C"/>
    <w:rsid w:val="006A2083"/>
    <w:rsid w:val="006A35BB"/>
    <w:rsid w:val="006A3A0A"/>
    <w:rsid w:val="006A4770"/>
    <w:rsid w:val="006A5BB8"/>
    <w:rsid w:val="006B1591"/>
    <w:rsid w:val="006B16BA"/>
    <w:rsid w:val="006B1753"/>
    <w:rsid w:val="006B289F"/>
    <w:rsid w:val="006B2F3A"/>
    <w:rsid w:val="006B4AD9"/>
    <w:rsid w:val="006B4F9F"/>
    <w:rsid w:val="006B717E"/>
    <w:rsid w:val="006C285C"/>
    <w:rsid w:val="006C2F8E"/>
    <w:rsid w:val="006C4525"/>
    <w:rsid w:val="006C4AE2"/>
    <w:rsid w:val="006C4BF7"/>
    <w:rsid w:val="006C5539"/>
    <w:rsid w:val="006C5936"/>
    <w:rsid w:val="006C71CA"/>
    <w:rsid w:val="006D0E69"/>
    <w:rsid w:val="006D1068"/>
    <w:rsid w:val="006D27CE"/>
    <w:rsid w:val="006D40F0"/>
    <w:rsid w:val="006D5A16"/>
    <w:rsid w:val="006D66A3"/>
    <w:rsid w:val="006E1C43"/>
    <w:rsid w:val="006E2DFB"/>
    <w:rsid w:val="006E5DBD"/>
    <w:rsid w:val="006E7509"/>
    <w:rsid w:val="006F024F"/>
    <w:rsid w:val="006F0A96"/>
    <w:rsid w:val="006F0EA5"/>
    <w:rsid w:val="006F3C4F"/>
    <w:rsid w:val="006F3FEF"/>
    <w:rsid w:val="006F5F5C"/>
    <w:rsid w:val="00700749"/>
    <w:rsid w:val="00700E5C"/>
    <w:rsid w:val="00707F1E"/>
    <w:rsid w:val="007101FD"/>
    <w:rsid w:val="00711011"/>
    <w:rsid w:val="007119AB"/>
    <w:rsid w:val="00712F2D"/>
    <w:rsid w:val="007137B2"/>
    <w:rsid w:val="00713EF7"/>
    <w:rsid w:val="00714AC2"/>
    <w:rsid w:val="00715F70"/>
    <w:rsid w:val="0071623A"/>
    <w:rsid w:val="0071662B"/>
    <w:rsid w:val="00716FC7"/>
    <w:rsid w:val="0072132A"/>
    <w:rsid w:val="00722366"/>
    <w:rsid w:val="0072344B"/>
    <w:rsid w:val="0072492D"/>
    <w:rsid w:val="00725D61"/>
    <w:rsid w:val="007307E6"/>
    <w:rsid w:val="00731FD0"/>
    <w:rsid w:val="007336DA"/>
    <w:rsid w:val="0073375C"/>
    <w:rsid w:val="00735AFE"/>
    <w:rsid w:val="00736B9B"/>
    <w:rsid w:val="007413CA"/>
    <w:rsid w:val="00742CC0"/>
    <w:rsid w:val="00744F1E"/>
    <w:rsid w:val="00744F92"/>
    <w:rsid w:val="00745E01"/>
    <w:rsid w:val="00752162"/>
    <w:rsid w:val="00752274"/>
    <w:rsid w:val="00752AD0"/>
    <w:rsid w:val="00755321"/>
    <w:rsid w:val="00755FD8"/>
    <w:rsid w:val="007563ED"/>
    <w:rsid w:val="00756B08"/>
    <w:rsid w:val="00757D85"/>
    <w:rsid w:val="00760393"/>
    <w:rsid w:val="0076442D"/>
    <w:rsid w:val="00764F86"/>
    <w:rsid w:val="0077012A"/>
    <w:rsid w:val="00771859"/>
    <w:rsid w:val="0077188E"/>
    <w:rsid w:val="00774BFA"/>
    <w:rsid w:val="0077518B"/>
    <w:rsid w:val="0077685D"/>
    <w:rsid w:val="00781CE8"/>
    <w:rsid w:val="00787F6F"/>
    <w:rsid w:val="007918E2"/>
    <w:rsid w:val="00796F99"/>
    <w:rsid w:val="00797F6C"/>
    <w:rsid w:val="007A00A5"/>
    <w:rsid w:val="007A00AC"/>
    <w:rsid w:val="007A0AF3"/>
    <w:rsid w:val="007A26CD"/>
    <w:rsid w:val="007A2EB3"/>
    <w:rsid w:val="007A3812"/>
    <w:rsid w:val="007A40BB"/>
    <w:rsid w:val="007A6696"/>
    <w:rsid w:val="007B0E53"/>
    <w:rsid w:val="007B1BAF"/>
    <w:rsid w:val="007C123D"/>
    <w:rsid w:val="007C1C81"/>
    <w:rsid w:val="007C6396"/>
    <w:rsid w:val="007D3896"/>
    <w:rsid w:val="007D5D23"/>
    <w:rsid w:val="007D736A"/>
    <w:rsid w:val="007E09F7"/>
    <w:rsid w:val="007E157B"/>
    <w:rsid w:val="007E534B"/>
    <w:rsid w:val="007E536D"/>
    <w:rsid w:val="007E6CE6"/>
    <w:rsid w:val="007E7149"/>
    <w:rsid w:val="007E73A2"/>
    <w:rsid w:val="007F2E2B"/>
    <w:rsid w:val="007F3168"/>
    <w:rsid w:val="007F3CAB"/>
    <w:rsid w:val="007F3F1C"/>
    <w:rsid w:val="007F6B4D"/>
    <w:rsid w:val="008004D9"/>
    <w:rsid w:val="00801309"/>
    <w:rsid w:val="00802575"/>
    <w:rsid w:val="008026FC"/>
    <w:rsid w:val="00806794"/>
    <w:rsid w:val="00806CD1"/>
    <w:rsid w:val="008124FE"/>
    <w:rsid w:val="0081294F"/>
    <w:rsid w:val="008142D2"/>
    <w:rsid w:val="0081536F"/>
    <w:rsid w:val="008162E8"/>
    <w:rsid w:val="00816B7F"/>
    <w:rsid w:val="00817C85"/>
    <w:rsid w:val="00820845"/>
    <w:rsid w:val="00821CA4"/>
    <w:rsid w:val="00823E61"/>
    <w:rsid w:val="00824FFF"/>
    <w:rsid w:val="00831522"/>
    <w:rsid w:val="00831C38"/>
    <w:rsid w:val="0083513D"/>
    <w:rsid w:val="00835D0E"/>
    <w:rsid w:val="00837136"/>
    <w:rsid w:val="00840002"/>
    <w:rsid w:val="00842074"/>
    <w:rsid w:val="00842B17"/>
    <w:rsid w:val="00846A8B"/>
    <w:rsid w:val="00851803"/>
    <w:rsid w:val="008537F8"/>
    <w:rsid w:val="00854826"/>
    <w:rsid w:val="00854D9E"/>
    <w:rsid w:val="0085510A"/>
    <w:rsid w:val="00855E5B"/>
    <w:rsid w:val="00863326"/>
    <w:rsid w:val="008666B6"/>
    <w:rsid w:val="00870A07"/>
    <w:rsid w:val="00870B2B"/>
    <w:rsid w:val="00871B1A"/>
    <w:rsid w:val="00875BF0"/>
    <w:rsid w:val="00876F33"/>
    <w:rsid w:val="0088142B"/>
    <w:rsid w:val="008819E9"/>
    <w:rsid w:val="008822D1"/>
    <w:rsid w:val="00886594"/>
    <w:rsid w:val="00886AB0"/>
    <w:rsid w:val="0089074E"/>
    <w:rsid w:val="00891EEB"/>
    <w:rsid w:val="008957C5"/>
    <w:rsid w:val="008972F7"/>
    <w:rsid w:val="008A0A23"/>
    <w:rsid w:val="008A13D6"/>
    <w:rsid w:val="008A56ED"/>
    <w:rsid w:val="008A57F7"/>
    <w:rsid w:val="008A7662"/>
    <w:rsid w:val="008B003A"/>
    <w:rsid w:val="008B2F13"/>
    <w:rsid w:val="008B5A27"/>
    <w:rsid w:val="008B62E9"/>
    <w:rsid w:val="008C0A10"/>
    <w:rsid w:val="008C3F2D"/>
    <w:rsid w:val="008C52D5"/>
    <w:rsid w:val="008C6F42"/>
    <w:rsid w:val="008D0E73"/>
    <w:rsid w:val="008D28EB"/>
    <w:rsid w:val="008D4C52"/>
    <w:rsid w:val="008D6146"/>
    <w:rsid w:val="008D758D"/>
    <w:rsid w:val="008D76DF"/>
    <w:rsid w:val="008D7D96"/>
    <w:rsid w:val="008E0334"/>
    <w:rsid w:val="008E138A"/>
    <w:rsid w:val="008E34C8"/>
    <w:rsid w:val="008E428B"/>
    <w:rsid w:val="008E54C6"/>
    <w:rsid w:val="008E5C8F"/>
    <w:rsid w:val="008E762D"/>
    <w:rsid w:val="008F2543"/>
    <w:rsid w:val="008F5CB4"/>
    <w:rsid w:val="0090135E"/>
    <w:rsid w:val="00903742"/>
    <w:rsid w:val="009041F5"/>
    <w:rsid w:val="00904F25"/>
    <w:rsid w:val="009062C6"/>
    <w:rsid w:val="00913859"/>
    <w:rsid w:val="00914193"/>
    <w:rsid w:val="0091672A"/>
    <w:rsid w:val="0091758D"/>
    <w:rsid w:val="00927446"/>
    <w:rsid w:val="00930043"/>
    <w:rsid w:val="00933DB1"/>
    <w:rsid w:val="00934C74"/>
    <w:rsid w:val="00934DFA"/>
    <w:rsid w:val="00934E29"/>
    <w:rsid w:val="009355F8"/>
    <w:rsid w:val="009374D3"/>
    <w:rsid w:val="00940707"/>
    <w:rsid w:val="00940F7E"/>
    <w:rsid w:val="00946004"/>
    <w:rsid w:val="00946553"/>
    <w:rsid w:val="009470CB"/>
    <w:rsid w:val="009538A7"/>
    <w:rsid w:val="009540C1"/>
    <w:rsid w:val="00954FFE"/>
    <w:rsid w:val="0095616D"/>
    <w:rsid w:val="009564D1"/>
    <w:rsid w:val="0095768E"/>
    <w:rsid w:val="00960B95"/>
    <w:rsid w:val="00960C16"/>
    <w:rsid w:val="00961447"/>
    <w:rsid w:val="00961AAF"/>
    <w:rsid w:val="009621ED"/>
    <w:rsid w:val="009653CA"/>
    <w:rsid w:val="009666C6"/>
    <w:rsid w:val="00970992"/>
    <w:rsid w:val="009750AD"/>
    <w:rsid w:val="00982D1F"/>
    <w:rsid w:val="009834DD"/>
    <w:rsid w:val="00984271"/>
    <w:rsid w:val="009848DA"/>
    <w:rsid w:val="00987CDC"/>
    <w:rsid w:val="00990C9C"/>
    <w:rsid w:val="009910CB"/>
    <w:rsid w:val="009920E3"/>
    <w:rsid w:val="0099249E"/>
    <w:rsid w:val="00994A34"/>
    <w:rsid w:val="0099559A"/>
    <w:rsid w:val="00996D3F"/>
    <w:rsid w:val="009A092B"/>
    <w:rsid w:val="009A1091"/>
    <w:rsid w:val="009A1778"/>
    <w:rsid w:val="009A5612"/>
    <w:rsid w:val="009A7234"/>
    <w:rsid w:val="009B4917"/>
    <w:rsid w:val="009C0092"/>
    <w:rsid w:val="009C16D6"/>
    <w:rsid w:val="009C5CAC"/>
    <w:rsid w:val="009C7A19"/>
    <w:rsid w:val="009D15E1"/>
    <w:rsid w:val="009D161C"/>
    <w:rsid w:val="009D16AD"/>
    <w:rsid w:val="009D19CC"/>
    <w:rsid w:val="009D4E82"/>
    <w:rsid w:val="009D6912"/>
    <w:rsid w:val="009E0533"/>
    <w:rsid w:val="009E1F2E"/>
    <w:rsid w:val="009E2423"/>
    <w:rsid w:val="009E2A5A"/>
    <w:rsid w:val="009E36F2"/>
    <w:rsid w:val="009E43E7"/>
    <w:rsid w:val="009E4994"/>
    <w:rsid w:val="009E6EAF"/>
    <w:rsid w:val="009E7BB4"/>
    <w:rsid w:val="009F02A5"/>
    <w:rsid w:val="009F0F88"/>
    <w:rsid w:val="009F2082"/>
    <w:rsid w:val="009F4E1A"/>
    <w:rsid w:val="009F54A4"/>
    <w:rsid w:val="009F70F1"/>
    <w:rsid w:val="00A03659"/>
    <w:rsid w:val="00A047DC"/>
    <w:rsid w:val="00A06AB5"/>
    <w:rsid w:val="00A11887"/>
    <w:rsid w:val="00A130FE"/>
    <w:rsid w:val="00A13704"/>
    <w:rsid w:val="00A13A10"/>
    <w:rsid w:val="00A13FDA"/>
    <w:rsid w:val="00A14BC1"/>
    <w:rsid w:val="00A16868"/>
    <w:rsid w:val="00A20F55"/>
    <w:rsid w:val="00A27A1C"/>
    <w:rsid w:val="00A27F62"/>
    <w:rsid w:val="00A303D2"/>
    <w:rsid w:val="00A30E3C"/>
    <w:rsid w:val="00A3184E"/>
    <w:rsid w:val="00A3232A"/>
    <w:rsid w:val="00A33D81"/>
    <w:rsid w:val="00A37DAC"/>
    <w:rsid w:val="00A44054"/>
    <w:rsid w:val="00A44E92"/>
    <w:rsid w:val="00A45193"/>
    <w:rsid w:val="00A51CBA"/>
    <w:rsid w:val="00A53EF6"/>
    <w:rsid w:val="00A545E5"/>
    <w:rsid w:val="00A54FA0"/>
    <w:rsid w:val="00A57BCE"/>
    <w:rsid w:val="00A66E75"/>
    <w:rsid w:val="00A7013E"/>
    <w:rsid w:val="00A70362"/>
    <w:rsid w:val="00A73C1E"/>
    <w:rsid w:val="00A7552D"/>
    <w:rsid w:val="00A76518"/>
    <w:rsid w:val="00A77B94"/>
    <w:rsid w:val="00A82110"/>
    <w:rsid w:val="00A84533"/>
    <w:rsid w:val="00A84976"/>
    <w:rsid w:val="00A90A67"/>
    <w:rsid w:val="00A92A5D"/>
    <w:rsid w:val="00A952D3"/>
    <w:rsid w:val="00A976B8"/>
    <w:rsid w:val="00AA2564"/>
    <w:rsid w:val="00AA26BF"/>
    <w:rsid w:val="00AA5465"/>
    <w:rsid w:val="00AA6F4F"/>
    <w:rsid w:val="00AB011F"/>
    <w:rsid w:val="00AB0CDE"/>
    <w:rsid w:val="00AB220E"/>
    <w:rsid w:val="00AB275E"/>
    <w:rsid w:val="00AB30A5"/>
    <w:rsid w:val="00AB4295"/>
    <w:rsid w:val="00AB45E6"/>
    <w:rsid w:val="00AB48CE"/>
    <w:rsid w:val="00AB7552"/>
    <w:rsid w:val="00AC0665"/>
    <w:rsid w:val="00AC111D"/>
    <w:rsid w:val="00AC47C5"/>
    <w:rsid w:val="00AC4FD4"/>
    <w:rsid w:val="00AC5EE5"/>
    <w:rsid w:val="00AC7419"/>
    <w:rsid w:val="00AD0FDA"/>
    <w:rsid w:val="00AD3CDD"/>
    <w:rsid w:val="00AD5E77"/>
    <w:rsid w:val="00AD602E"/>
    <w:rsid w:val="00AD7619"/>
    <w:rsid w:val="00AE2287"/>
    <w:rsid w:val="00AE38F8"/>
    <w:rsid w:val="00AE38FA"/>
    <w:rsid w:val="00AE7F47"/>
    <w:rsid w:val="00AF07C0"/>
    <w:rsid w:val="00AF1208"/>
    <w:rsid w:val="00AF2AD3"/>
    <w:rsid w:val="00B01567"/>
    <w:rsid w:val="00B02B23"/>
    <w:rsid w:val="00B12B0C"/>
    <w:rsid w:val="00B15643"/>
    <w:rsid w:val="00B159EF"/>
    <w:rsid w:val="00B15F8C"/>
    <w:rsid w:val="00B17019"/>
    <w:rsid w:val="00B20D8E"/>
    <w:rsid w:val="00B21441"/>
    <w:rsid w:val="00B2154F"/>
    <w:rsid w:val="00B22DD1"/>
    <w:rsid w:val="00B30BC5"/>
    <w:rsid w:val="00B32383"/>
    <w:rsid w:val="00B34C7C"/>
    <w:rsid w:val="00B36FAF"/>
    <w:rsid w:val="00B40690"/>
    <w:rsid w:val="00B4275F"/>
    <w:rsid w:val="00B42D3A"/>
    <w:rsid w:val="00B5076E"/>
    <w:rsid w:val="00B51545"/>
    <w:rsid w:val="00B51BB4"/>
    <w:rsid w:val="00B51F4D"/>
    <w:rsid w:val="00B56460"/>
    <w:rsid w:val="00B566F0"/>
    <w:rsid w:val="00B6019B"/>
    <w:rsid w:val="00B60737"/>
    <w:rsid w:val="00B6102F"/>
    <w:rsid w:val="00B65249"/>
    <w:rsid w:val="00B66212"/>
    <w:rsid w:val="00B67116"/>
    <w:rsid w:val="00B713B5"/>
    <w:rsid w:val="00B76144"/>
    <w:rsid w:val="00B76BD3"/>
    <w:rsid w:val="00B76D16"/>
    <w:rsid w:val="00B80D74"/>
    <w:rsid w:val="00B82DCF"/>
    <w:rsid w:val="00B85213"/>
    <w:rsid w:val="00B85564"/>
    <w:rsid w:val="00B85CFB"/>
    <w:rsid w:val="00B95399"/>
    <w:rsid w:val="00B95433"/>
    <w:rsid w:val="00B96CE6"/>
    <w:rsid w:val="00BA1DFC"/>
    <w:rsid w:val="00BA39E9"/>
    <w:rsid w:val="00BA4389"/>
    <w:rsid w:val="00BB0300"/>
    <w:rsid w:val="00BB0A21"/>
    <w:rsid w:val="00BB10B6"/>
    <w:rsid w:val="00BB1CC6"/>
    <w:rsid w:val="00BB2847"/>
    <w:rsid w:val="00BB4AD3"/>
    <w:rsid w:val="00BC1C97"/>
    <w:rsid w:val="00BC47A1"/>
    <w:rsid w:val="00BC6D1E"/>
    <w:rsid w:val="00BC75B9"/>
    <w:rsid w:val="00BD0538"/>
    <w:rsid w:val="00BD0935"/>
    <w:rsid w:val="00BD122B"/>
    <w:rsid w:val="00BD2AAE"/>
    <w:rsid w:val="00BD33D9"/>
    <w:rsid w:val="00BD4696"/>
    <w:rsid w:val="00BD4C85"/>
    <w:rsid w:val="00BE2234"/>
    <w:rsid w:val="00BE24C2"/>
    <w:rsid w:val="00BE274C"/>
    <w:rsid w:val="00BE4E67"/>
    <w:rsid w:val="00BF03C0"/>
    <w:rsid w:val="00BF2DE0"/>
    <w:rsid w:val="00BF3711"/>
    <w:rsid w:val="00BF4591"/>
    <w:rsid w:val="00BF470A"/>
    <w:rsid w:val="00BF7F90"/>
    <w:rsid w:val="00C04DF4"/>
    <w:rsid w:val="00C05C34"/>
    <w:rsid w:val="00C1519F"/>
    <w:rsid w:val="00C153F6"/>
    <w:rsid w:val="00C16841"/>
    <w:rsid w:val="00C212EA"/>
    <w:rsid w:val="00C21973"/>
    <w:rsid w:val="00C21F93"/>
    <w:rsid w:val="00C244D7"/>
    <w:rsid w:val="00C246C7"/>
    <w:rsid w:val="00C2592A"/>
    <w:rsid w:val="00C31838"/>
    <w:rsid w:val="00C32442"/>
    <w:rsid w:val="00C347B2"/>
    <w:rsid w:val="00C35191"/>
    <w:rsid w:val="00C355AF"/>
    <w:rsid w:val="00C35720"/>
    <w:rsid w:val="00C379A6"/>
    <w:rsid w:val="00C37DF2"/>
    <w:rsid w:val="00C4041D"/>
    <w:rsid w:val="00C41DCD"/>
    <w:rsid w:val="00C426C1"/>
    <w:rsid w:val="00C4411E"/>
    <w:rsid w:val="00C44CC1"/>
    <w:rsid w:val="00C45479"/>
    <w:rsid w:val="00C45907"/>
    <w:rsid w:val="00C50101"/>
    <w:rsid w:val="00C51B50"/>
    <w:rsid w:val="00C527C3"/>
    <w:rsid w:val="00C52F20"/>
    <w:rsid w:val="00C5366C"/>
    <w:rsid w:val="00C549E6"/>
    <w:rsid w:val="00C57969"/>
    <w:rsid w:val="00C579C8"/>
    <w:rsid w:val="00C60AD3"/>
    <w:rsid w:val="00C64100"/>
    <w:rsid w:val="00C657AE"/>
    <w:rsid w:val="00C71281"/>
    <w:rsid w:val="00C720DA"/>
    <w:rsid w:val="00C7233E"/>
    <w:rsid w:val="00C72CCC"/>
    <w:rsid w:val="00C73F3D"/>
    <w:rsid w:val="00C7458E"/>
    <w:rsid w:val="00C75986"/>
    <w:rsid w:val="00C804FF"/>
    <w:rsid w:val="00C826BF"/>
    <w:rsid w:val="00C82834"/>
    <w:rsid w:val="00C8313C"/>
    <w:rsid w:val="00C83710"/>
    <w:rsid w:val="00C84574"/>
    <w:rsid w:val="00C85B10"/>
    <w:rsid w:val="00C872A6"/>
    <w:rsid w:val="00C87459"/>
    <w:rsid w:val="00C9193E"/>
    <w:rsid w:val="00C956C5"/>
    <w:rsid w:val="00C96215"/>
    <w:rsid w:val="00C96496"/>
    <w:rsid w:val="00C97E44"/>
    <w:rsid w:val="00CA301B"/>
    <w:rsid w:val="00CA3310"/>
    <w:rsid w:val="00CA4C41"/>
    <w:rsid w:val="00CB0FC8"/>
    <w:rsid w:val="00CB115F"/>
    <w:rsid w:val="00CB12C1"/>
    <w:rsid w:val="00CB2FC3"/>
    <w:rsid w:val="00CB33D3"/>
    <w:rsid w:val="00CB34E1"/>
    <w:rsid w:val="00CB353D"/>
    <w:rsid w:val="00CB4159"/>
    <w:rsid w:val="00CB4F7F"/>
    <w:rsid w:val="00CB554A"/>
    <w:rsid w:val="00CC02C7"/>
    <w:rsid w:val="00CC3127"/>
    <w:rsid w:val="00CC3314"/>
    <w:rsid w:val="00CD1844"/>
    <w:rsid w:val="00CD61EC"/>
    <w:rsid w:val="00CD652D"/>
    <w:rsid w:val="00CE0200"/>
    <w:rsid w:val="00CE1C5F"/>
    <w:rsid w:val="00CE436C"/>
    <w:rsid w:val="00CE49A9"/>
    <w:rsid w:val="00CF1010"/>
    <w:rsid w:val="00CF44D7"/>
    <w:rsid w:val="00CF69CD"/>
    <w:rsid w:val="00CF7A35"/>
    <w:rsid w:val="00D00D8A"/>
    <w:rsid w:val="00D03AA3"/>
    <w:rsid w:val="00D03CA6"/>
    <w:rsid w:val="00D03FEE"/>
    <w:rsid w:val="00D041FB"/>
    <w:rsid w:val="00D04573"/>
    <w:rsid w:val="00D151D3"/>
    <w:rsid w:val="00D15EF6"/>
    <w:rsid w:val="00D1787B"/>
    <w:rsid w:val="00D208B1"/>
    <w:rsid w:val="00D20F36"/>
    <w:rsid w:val="00D215E8"/>
    <w:rsid w:val="00D21EC4"/>
    <w:rsid w:val="00D2738E"/>
    <w:rsid w:val="00D27719"/>
    <w:rsid w:val="00D305FE"/>
    <w:rsid w:val="00D32E39"/>
    <w:rsid w:val="00D33386"/>
    <w:rsid w:val="00D34EF0"/>
    <w:rsid w:val="00D3663A"/>
    <w:rsid w:val="00D36A3A"/>
    <w:rsid w:val="00D41047"/>
    <w:rsid w:val="00D42B55"/>
    <w:rsid w:val="00D4358D"/>
    <w:rsid w:val="00D44262"/>
    <w:rsid w:val="00D5035E"/>
    <w:rsid w:val="00D50AF7"/>
    <w:rsid w:val="00D50E5A"/>
    <w:rsid w:val="00D5263E"/>
    <w:rsid w:val="00D52989"/>
    <w:rsid w:val="00D546D9"/>
    <w:rsid w:val="00D554FC"/>
    <w:rsid w:val="00D577B1"/>
    <w:rsid w:val="00D6093A"/>
    <w:rsid w:val="00D62517"/>
    <w:rsid w:val="00D62F11"/>
    <w:rsid w:val="00D62F67"/>
    <w:rsid w:val="00D65647"/>
    <w:rsid w:val="00D6591E"/>
    <w:rsid w:val="00D65DD3"/>
    <w:rsid w:val="00D667E8"/>
    <w:rsid w:val="00D73060"/>
    <w:rsid w:val="00D73971"/>
    <w:rsid w:val="00D73DD5"/>
    <w:rsid w:val="00D76201"/>
    <w:rsid w:val="00D77D34"/>
    <w:rsid w:val="00D80EF3"/>
    <w:rsid w:val="00D8123B"/>
    <w:rsid w:val="00D84A37"/>
    <w:rsid w:val="00D84F62"/>
    <w:rsid w:val="00D85F92"/>
    <w:rsid w:val="00D8682F"/>
    <w:rsid w:val="00D91B20"/>
    <w:rsid w:val="00D91BAD"/>
    <w:rsid w:val="00D92FA8"/>
    <w:rsid w:val="00D94145"/>
    <w:rsid w:val="00D952AE"/>
    <w:rsid w:val="00DA10F9"/>
    <w:rsid w:val="00DA1219"/>
    <w:rsid w:val="00DA2194"/>
    <w:rsid w:val="00DA2201"/>
    <w:rsid w:val="00DA265A"/>
    <w:rsid w:val="00DA38DB"/>
    <w:rsid w:val="00DA455D"/>
    <w:rsid w:val="00DA6105"/>
    <w:rsid w:val="00DB1ACA"/>
    <w:rsid w:val="00DB21C7"/>
    <w:rsid w:val="00DB344D"/>
    <w:rsid w:val="00DB660E"/>
    <w:rsid w:val="00DB798D"/>
    <w:rsid w:val="00DC363D"/>
    <w:rsid w:val="00DC4AC9"/>
    <w:rsid w:val="00DC72D7"/>
    <w:rsid w:val="00DC7BD7"/>
    <w:rsid w:val="00DD0FA9"/>
    <w:rsid w:val="00DD32B0"/>
    <w:rsid w:val="00DE00C8"/>
    <w:rsid w:val="00DE0927"/>
    <w:rsid w:val="00DE228E"/>
    <w:rsid w:val="00DE2658"/>
    <w:rsid w:val="00DE3E0E"/>
    <w:rsid w:val="00DE5BF5"/>
    <w:rsid w:val="00DE6379"/>
    <w:rsid w:val="00DF2951"/>
    <w:rsid w:val="00DF368F"/>
    <w:rsid w:val="00DF4B1C"/>
    <w:rsid w:val="00DF7E37"/>
    <w:rsid w:val="00E07552"/>
    <w:rsid w:val="00E14CAA"/>
    <w:rsid w:val="00E16617"/>
    <w:rsid w:val="00E200CC"/>
    <w:rsid w:val="00E200DA"/>
    <w:rsid w:val="00E25024"/>
    <w:rsid w:val="00E26778"/>
    <w:rsid w:val="00E307AE"/>
    <w:rsid w:val="00E31574"/>
    <w:rsid w:val="00E351E7"/>
    <w:rsid w:val="00E36366"/>
    <w:rsid w:val="00E363D9"/>
    <w:rsid w:val="00E3658C"/>
    <w:rsid w:val="00E3766D"/>
    <w:rsid w:val="00E4004F"/>
    <w:rsid w:val="00E41D18"/>
    <w:rsid w:val="00E44198"/>
    <w:rsid w:val="00E45A64"/>
    <w:rsid w:val="00E45C33"/>
    <w:rsid w:val="00E5194D"/>
    <w:rsid w:val="00E51CEB"/>
    <w:rsid w:val="00E576B6"/>
    <w:rsid w:val="00E62F02"/>
    <w:rsid w:val="00E64CFB"/>
    <w:rsid w:val="00E65493"/>
    <w:rsid w:val="00E6630A"/>
    <w:rsid w:val="00E665F1"/>
    <w:rsid w:val="00E678E3"/>
    <w:rsid w:val="00E71269"/>
    <w:rsid w:val="00E72037"/>
    <w:rsid w:val="00E73227"/>
    <w:rsid w:val="00E73B11"/>
    <w:rsid w:val="00E76ADC"/>
    <w:rsid w:val="00E7738D"/>
    <w:rsid w:val="00E80DC2"/>
    <w:rsid w:val="00E84DF3"/>
    <w:rsid w:val="00E8577C"/>
    <w:rsid w:val="00E860B4"/>
    <w:rsid w:val="00E86CB1"/>
    <w:rsid w:val="00E90545"/>
    <w:rsid w:val="00E90FCB"/>
    <w:rsid w:val="00E92FB8"/>
    <w:rsid w:val="00E939C7"/>
    <w:rsid w:val="00E93E8B"/>
    <w:rsid w:val="00E9529E"/>
    <w:rsid w:val="00E9795B"/>
    <w:rsid w:val="00EA3085"/>
    <w:rsid w:val="00EA5681"/>
    <w:rsid w:val="00EA6019"/>
    <w:rsid w:val="00EA7B4F"/>
    <w:rsid w:val="00EB1A63"/>
    <w:rsid w:val="00EB3803"/>
    <w:rsid w:val="00EB48D1"/>
    <w:rsid w:val="00EB6511"/>
    <w:rsid w:val="00EB669C"/>
    <w:rsid w:val="00EB66C9"/>
    <w:rsid w:val="00EB6DB6"/>
    <w:rsid w:val="00EB6E65"/>
    <w:rsid w:val="00EB709D"/>
    <w:rsid w:val="00EC3417"/>
    <w:rsid w:val="00EC48EE"/>
    <w:rsid w:val="00EC4F98"/>
    <w:rsid w:val="00ED0C6E"/>
    <w:rsid w:val="00ED1109"/>
    <w:rsid w:val="00ED5111"/>
    <w:rsid w:val="00EE10CC"/>
    <w:rsid w:val="00EE19EF"/>
    <w:rsid w:val="00EE216E"/>
    <w:rsid w:val="00EE2C62"/>
    <w:rsid w:val="00EE325A"/>
    <w:rsid w:val="00EE4819"/>
    <w:rsid w:val="00EE64CF"/>
    <w:rsid w:val="00EF1CB7"/>
    <w:rsid w:val="00EF3012"/>
    <w:rsid w:val="00EF3CFF"/>
    <w:rsid w:val="00EF6AAA"/>
    <w:rsid w:val="00F02195"/>
    <w:rsid w:val="00F0354E"/>
    <w:rsid w:val="00F03E65"/>
    <w:rsid w:val="00F05C71"/>
    <w:rsid w:val="00F079C9"/>
    <w:rsid w:val="00F07F5C"/>
    <w:rsid w:val="00F123C2"/>
    <w:rsid w:val="00F14A83"/>
    <w:rsid w:val="00F15004"/>
    <w:rsid w:val="00F166B5"/>
    <w:rsid w:val="00F166D0"/>
    <w:rsid w:val="00F17D03"/>
    <w:rsid w:val="00F203D7"/>
    <w:rsid w:val="00F22127"/>
    <w:rsid w:val="00F228E4"/>
    <w:rsid w:val="00F2448E"/>
    <w:rsid w:val="00F2593A"/>
    <w:rsid w:val="00F26346"/>
    <w:rsid w:val="00F27EEF"/>
    <w:rsid w:val="00F3050A"/>
    <w:rsid w:val="00F311CA"/>
    <w:rsid w:val="00F32C6F"/>
    <w:rsid w:val="00F3691B"/>
    <w:rsid w:val="00F40934"/>
    <w:rsid w:val="00F40CF3"/>
    <w:rsid w:val="00F41C5B"/>
    <w:rsid w:val="00F41E22"/>
    <w:rsid w:val="00F42514"/>
    <w:rsid w:val="00F43112"/>
    <w:rsid w:val="00F440F5"/>
    <w:rsid w:val="00F453E0"/>
    <w:rsid w:val="00F467EA"/>
    <w:rsid w:val="00F46D9B"/>
    <w:rsid w:val="00F54C92"/>
    <w:rsid w:val="00F55500"/>
    <w:rsid w:val="00F55859"/>
    <w:rsid w:val="00F55BFE"/>
    <w:rsid w:val="00F57386"/>
    <w:rsid w:val="00F61B67"/>
    <w:rsid w:val="00F64091"/>
    <w:rsid w:val="00F640AD"/>
    <w:rsid w:val="00F66F0D"/>
    <w:rsid w:val="00F66FAC"/>
    <w:rsid w:val="00F6710C"/>
    <w:rsid w:val="00F70AAD"/>
    <w:rsid w:val="00F70D60"/>
    <w:rsid w:val="00F713A4"/>
    <w:rsid w:val="00F7212F"/>
    <w:rsid w:val="00F721D7"/>
    <w:rsid w:val="00F76FB2"/>
    <w:rsid w:val="00F8622A"/>
    <w:rsid w:val="00F86E9F"/>
    <w:rsid w:val="00F90F50"/>
    <w:rsid w:val="00F93879"/>
    <w:rsid w:val="00F97FD6"/>
    <w:rsid w:val="00FA1277"/>
    <w:rsid w:val="00FA267C"/>
    <w:rsid w:val="00FA2E25"/>
    <w:rsid w:val="00FB125F"/>
    <w:rsid w:val="00FB28EB"/>
    <w:rsid w:val="00FB5CA5"/>
    <w:rsid w:val="00FC07AC"/>
    <w:rsid w:val="00FC168E"/>
    <w:rsid w:val="00FC3327"/>
    <w:rsid w:val="00FC352D"/>
    <w:rsid w:val="00FC3C5E"/>
    <w:rsid w:val="00FC42F5"/>
    <w:rsid w:val="00FC5480"/>
    <w:rsid w:val="00FC6514"/>
    <w:rsid w:val="00FC6607"/>
    <w:rsid w:val="00FC6E4A"/>
    <w:rsid w:val="00FD09AE"/>
    <w:rsid w:val="00FD34D3"/>
    <w:rsid w:val="00FD6733"/>
    <w:rsid w:val="00FD7AF0"/>
    <w:rsid w:val="00FE1246"/>
    <w:rsid w:val="00FE2E34"/>
    <w:rsid w:val="00FE3315"/>
    <w:rsid w:val="00FE3ADF"/>
    <w:rsid w:val="00FE3C2C"/>
    <w:rsid w:val="00FE547B"/>
    <w:rsid w:val="00FE5732"/>
    <w:rsid w:val="00FF149D"/>
    <w:rsid w:val="00FF1EC8"/>
    <w:rsid w:val="00FF27C4"/>
    <w:rsid w:val="00FF4F18"/>
    <w:rsid w:val="00FF5EEA"/>
    <w:rsid w:val="00FF795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BA76BA"/>
  <w14:defaultImageDpi w14:val="300"/>
  <w15:docId w15:val="{0F29B237-AC6E-FB4F-9029-1BEFB90E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13A4"/>
    <w:rPr>
      <w:rFonts w:ascii="Times New Roman" w:eastAsia="Times New Roman" w:hAnsi="Times New Roman" w:cs="Times New Roman"/>
    </w:rPr>
  </w:style>
  <w:style w:type="paragraph" w:styleId="Titolo1">
    <w:name w:val="heading 1"/>
    <w:basedOn w:val="Normale"/>
    <w:next w:val="Normale"/>
    <w:link w:val="Titolo1Carattere"/>
    <w:uiPriority w:val="9"/>
    <w:qFormat/>
    <w:rsid w:val="003B62D3"/>
    <w:pPr>
      <w:keepNext/>
      <w:keepLines/>
      <w:spacing w:before="240"/>
      <w:outlineLvl w:val="0"/>
    </w:pPr>
    <w:rPr>
      <w:rFonts w:eastAsiaTheme="majorEastAsia" w:cstheme="majorBidi"/>
      <w:b/>
      <w:color w:val="000000" w:themeColor="text1"/>
      <w:szCs w:val="32"/>
    </w:rPr>
  </w:style>
  <w:style w:type="paragraph" w:styleId="Titolo2">
    <w:name w:val="heading 2"/>
    <w:basedOn w:val="Normale"/>
    <w:next w:val="Normale"/>
    <w:link w:val="Titolo2Carattere"/>
    <w:uiPriority w:val="9"/>
    <w:unhideWhenUsed/>
    <w:qFormat/>
    <w:rsid w:val="009834DD"/>
    <w:pPr>
      <w:keepNext/>
      <w:keepLines/>
      <w:spacing w:before="40"/>
      <w:outlineLvl w:val="1"/>
    </w:pPr>
    <w:rPr>
      <w:rFonts w:eastAsiaTheme="majorEastAsia" w:cstheme="majorBidi"/>
      <w:b/>
      <w:color w:val="000000" w:themeColor="text1"/>
      <w:szCs w:val="26"/>
    </w:rPr>
  </w:style>
  <w:style w:type="paragraph" w:styleId="Titolo3">
    <w:name w:val="heading 3"/>
    <w:basedOn w:val="Normale"/>
    <w:next w:val="Normale"/>
    <w:link w:val="Titolo3Carattere"/>
    <w:uiPriority w:val="9"/>
    <w:unhideWhenUsed/>
    <w:qFormat/>
    <w:rsid w:val="00046EDB"/>
    <w:pPr>
      <w:keepNext/>
      <w:keepLines/>
      <w:spacing w:before="40"/>
      <w:outlineLvl w:val="2"/>
    </w:pPr>
    <w:rPr>
      <w:rFonts w:eastAsiaTheme="majorEastAsia" w:cstheme="majorBidi"/>
      <w:b/>
      <w:color w:val="000000" w:themeColor="text1"/>
    </w:rPr>
  </w:style>
  <w:style w:type="paragraph" w:styleId="Titolo4">
    <w:name w:val="heading 4"/>
    <w:basedOn w:val="Normale"/>
    <w:next w:val="Normale"/>
    <w:link w:val="Titolo4Carattere"/>
    <w:uiPriority w:val="9"/>
    <w:unhideWhenUsed/>
    <w:qFormat/>
    <w:rsid w:val="00B66212"/>
    <w:pPr>
      <w:keepNext/>
      <w:keepLines/>
      <w:spacing w:before="40"/>
      <w:outlineLvl w:val="3"/>
    </w:pPr>
    <w:rPr>
      <w:rFonts w:eastAsiaTheme="majorEastAsia" w:cstheme="majorBidi"/>
      <w:b/>
      <w:iCs/>
      <w:color w:val="000000" w:themeColor="text1"/>
    </w:rPr>
  </w:style>
  <w:style w:type="paragraph" w:styleId="Titolo5">
    <w:name w:val="heading 5"/>
    <w:basedOn w:val="Normale"/>
    <w:next w:val="Normale"/>
    <w:link w:val="Titolo5Carattere"/>
    <w:uiPriority w:val="9"/>
    <w:unhideWhenUsed/>
    <w:qFormat/>
    <w:rsid w:val="00CE1C5F"/>
    <w:pPr>
      <w:keepNext/>
      <w:keepLines/>
      <w:spacing w:before="40"/>
      <w:outlineLvl w:val="4"/>
    </w:pPr>
    <w:rPr>
      <w:rFonts w:eastAsiaTheme="majorEastAsia" w:cstheme="majorBidi"/>
      <w:b/>
      <w:color w:val="000000" w:themeColor="tex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30BE8"/>
    <w:pPr>
      <w:ind w:left="720"/>
      <w:contextualSpacing/>
    </w:pPr>
  </w:style>
  <w:style w:type="paragraph" w:styleId="Indice1">
    <w:name w:val="index 1"/>
    <w:basedOn w:val="Normale"/>
    <w:next w:val="Normale"/>
    <w:autoRedefine/>
    <w:uiPriority w:val="99"/>
    <w:unhideWhenUsed/>
    <w:rsid w:val="000A19E7"/>
    <w:pPr>
      <w:ind w:left="240" w:hanging="240"/>
    </w:pPr>
    <w:rPr>
      <w:sz w:val="18"/>
      <w:szCs w:val="18"/>
    </w:rPr>
  </w:style>
  <w:style w:type="paragraph" w:styleId="Indice2">
    <w:name w:val="index 2"/>
    <w:basedOn w:val="Normale"/>
    <w:next w:val="Normale"/>
    <w:autoRedefine/>
    <w:uiPriority w:val="99"/>
    <w:unhideWhenUsed/>
    <w:rsid w:val="000A19E7"/>
    <w:pPr>
      <w:ind w:left="480" w:hanging="240"/>
    </w:pPr>
    <w:rPr>
      <w:sz w:val="18"/>
      <w:szCs w:val="18"/>
    </w:rPr>
  </w:style>
  <w:style w:type="paragraph" w:styleId="Indice3">
    <w:name w:val="index 3"/>
    <w:basedOn w:val="Normale"/>
    <w:next w:val="Normale"/>
    <w:autoRedefine/>
    <w:uiPriority w:val="99"/>
    <w:unhideWhenUsed/>
    <w:rsid w:val="000A19E7"/>
    <w:pPr>
      <w:ind w:left="720" w:hanging="240"/>
    </w:pPr>
    <w:rPr>
      <w:sz w:val="18"/>
      <w:szCs w:val="18"/>
    </w:rPr>
  </w:style>
  <w:style w:type="paragraph" w:styleId="Indice4">
    <w:name w:val="index 4"/>
    <w:basedOn w:val="Normale"/>
    <w:next w:val="Normale"/>
    <w:autoRedefine/>
    <w:uiPriority w:val="99"/>
    <w:unhideWhenUsed/>
    <w:rsid w:val="000A19E7"/>
    <w:pPr>
      <w:ind w:left="960" w:hanging="240"/>
    </w:pPr>
    <w:rPr>
      <w:sz w:val="18"/>
      <w:szCs w:val="18"/>
    </w:rPr>
  </w:style>
  <w:style w:type="paragraph" w:styleId="Indice5">
    <w:name w:val="index 5"/>
    <w:basedOn w:val="Normale"/>
    <w:next w:val="Normale"/>
    <w:autoRedefine/>
    <w:uiPriority w:val="99"/>
    <w:unhideWhenUsed/>
    <w:rsid w:val="000A19E7"/>
    <w:pPr>
      <w:ind w:left="1200" w:hanging="240"/>
    </w:pPr>
    <w:rPr>
      <w:sz w:val="18"/>
      <w:szCs w:val="18"/>
    </w:rPr>
  </w:style>
  <w:style w:type="paragraph" w:styleId="Indice6">
    <w:name w:val="index 6"/>
    <w:basedOn w:val="Normale"/>
    <w:next w:val="Normale"/>
    <w:autoRedefine/>
    <w:uiPriority w:val="99"/>
    <w:unhideWhenUsed/>
    <w:rsid w:val="000A19E7"/>
    <w:pPr>
      <w:ind w:left="1440" w:hanging="240"/>
    </w:pPr>
    <w:rPr>
      <w:sz w:val="18"/>
      <w:szCs w:val="18"/>
    </w:rPr>
  </w:style>
  <w:style w:type="paragraph" w:styleId="Indice7">
    <w:name w:val="index 7"/>
    <w:basedOn w:val="Normale"/>
    <w:next w:val="Normale"/>
    <w:autoRedefine/>
    <w:uiPriority w:val="99"/>
    <w:unhideWhenUsed/>
    <w:rsid w:val="000A19E7"/>
    <w:pPr>
      <w:ind w:left="1680" w:hanging="240"/>
    </w:pPr>
    <w:rPr>
      <w:sz w:val="18"/>
      <w:szCs w:val="18"/>
    </w:rPr>
  </w:style>
  <w:style w:type="paragraph" w:styleId="Indice8">
    <w:name w:val="index 8"/>
    <w:basedOn w:val="Normale"/>
    <w:next w:val="Normale"/>
    <w:autoRedefine/>
    <w:uiPriority w:val="99"/>
    <w:unhideWhenUsed/>
    <w:rsid w:val="000A19E7"/>
    <w:pPr>
      <w:ind w:left="1920" w:hanging="240"/>
    </w:pPr>
    <w:rPr>
      <w:sz w:val="18"/>
      <w:szCs w:val="18"/>
    </w:rPr>
  </w:style>
  <w:style w:type="paragraph" w:styleId="Indice9">
    <w:name w:val="index 9"/>
    <w:basedOn w:val="Normale"/>
    <w:next w:val="Normale"/>
    <w:autoRedefine/>
    <w:uiPriority w:val="99"/>
    <w:unhideWhenUsed/>
    <w:rsid w:val="000A19E7"/>
    <w:pPr>
      <w:ind w:left="2160" w:hanging="240"/>
    </w:pPr>
    <w:rPr>
      <w:sz w:val="18"/>
      <w:szCs w:val="18"/>
    </w:rPr>
  </w:style>
  <w:style w:type="paragraph" w:styleId="Titoloindice">
    <w:name w:val="index heading"/>
    <w:basedOn w:val="Normale"/>
    <w:next w:val="Indice1"/>
    <w:uiPriority w:val="99"/>
    <w:unhideWhenUsed/>
    <w:rsid w:val="000A19E7"/>
    <w:pPr>
      <w:spacing w:before="240" w:after="120"/>
      <w:jc w:val="center"/>
    </w:pPr>
    <w:rPr>
      <w:b/>
      <w:bCs/>
      <w:sz w:val="26"/>
      <w:szCs w:val="26"/>
    </w:rPr>
  </w:style>
  <w:style w:type="character" w:customStyle="1" w:styleId="sc">
    <w:name w:val="sc"/>
    <w:basedOn w:val="Carpredefinitoparagrafo"/>
    <w:rsid w:val="00B566F0"/>
  </w:style>
  <w:style w:type="paragraph" w:styleId="Pidipagina">
    <w:name w:val="footer"/>
    <w:basedOn w:val="Normale"/>
    <w:link w:val="PidipaginaCarattere"/>
    <w:uiPriority w:val="99"/>
    <w:unhideWhenUsed/>
    <w:rsid w:val="000B3E73"/>
    <w:pPr>
      <w:tabs>
        <w:tab w:val="center" w:pos="4819"/>
        <w:tab w:val="right" w:pos="9638"/>
      </w:tabs>
    </w:pPr>
  </w:style>
  <w:style w:type="character" w:customStyle="1" w:styleId="PidipaginaCarattere">
    <w:name w:val="Piè di pagina Carattere"/>
    <w:basedOn w:val="Carpredefinitoparagrafo"/>
    <w:link w:val="Pidipagina"/>
    <w:uiPriority w:val="99"/>
    <w:rsid w:val="000B3E73"/>
  </w:style>
  <w:style w:type="character" w:styleId="Numeropagina">
    <w:name w:val="page number"/>
    <w:basedOn w:val="Carpredefinitoparagrafo"/>
    <w:uiPriority w:val="99"/>
    <w:semiHidden/>
    <w:unhideWhenUsed/>
    <w:rsid w:val="000B3E73"/>
  </w:style>
  <w:style w:type="paragraph" w:styleId="Testonotadichiusura">
    <w:name w:val="endnote text"/>
    <w:basedOn w:val="Normale"/>
    <w:link w:val="TestonotadichiusuraCarattere"/>
    <w:uiPriority w:val="99"/>
    <w:unhideWhenUsed/>
    <w:rsid w:val="003B7A37"/>
    <w:rPr>
      <w:sz w:val="20"/>
      <w:szCs w:val="20"/>
    </w:rPr>
  </w:style>
  <w:style w:type="character" w:customStyle="1" w:styleId="TestonotadichiusuraCarattere">
    <w:name w:val="Testo nota di chiusura Carattere"/>
    <w:basedOn w:val="Carpredefinitoparagrafo"/>
    <w:link w:val="Testonotadichiusura"/>
    <w:uiPriority w:val="99"/>
    <w:rsid w:val="003B7A37"/>
    <w:rPr>
      <w:sz w:val="20"/>
      <w:szCs w:val="20"/>
    </w:rPr>
  </w:style>
  <w:style w:type="character" w:styleId="Rimandonotadichiusura">
    <w:name w:val="endnote reference"/>
    <w:basedOn w:val="Carpredefinitoparagrafo"/>
    <w:uiPriority w:val="99"/>
    <w:unhideWhenUsed/>
    <w:rsid w:val="003B7A37"/>
    <w:rPr>
      <w:vertAlign w:val="superscript"/>
    </w:rPr>
  </w:style>
  <w:style w:type="paragraph" w:styleId="Testonotaapidipagina">
    <w:name w:val="footnote text"/>
    <w:basedOn w:val="Normale"/>
    <w:link w:val="TestonotaapidipaginaCarattere"/>
    <w:uiPriority w:val="99"/>
    <w:unhideWhenUsed/>
    <w:rsid w:val="003B7A37"/>
    <w:rPr>
      <w:sz w:val="20"/>
      <w:szCs w:val="20"/>
    </w:rPr>
  </w:style>
  <w:style w:type="character" w:customStyle="1" w:styleId="TestonotaapidipaginaCarattere">
    <w:name w:val="Testo nota a piè di pagina Carattere"/>
    <w:basedOn w:val="Carpredefinitoparagrafo"/>
    <w:link w:val="Testonotaapidipagina"/>
    <w:uiPriority w:val="99"/>
    <w:rsid w:val="003B7A37"/>
    <w:rPr>
      <w:sz w:val="20"/>
      <w:szCs w:val="20"/>
    </w:rPr>
  </w:style>
  <w:style w:type="character" w:styleId="Rimandonotaapidipagina">
    <w:name w:val="footnote reference"/>
    <w:basedOn w:val="Carpredefinitoparagrafo"/>
    <w:uiPriority w:val="99"/>
    <w:unhideWhenUsed/>
    <w:rsid w:val="003B7A37"/>
    <w:rPr>
      <w:vertAlign w:val="superscript"/>
    </w:rPr>
  </w:style>
  <w:style w:type="paragraph" w:styleId="Corpotesto">
    <w:name w:val="Body Text"/>
    <w:basedOn w:val="Normale"/>
    <w:link w:val="CorpotestoCarattere"/>
    <w:uiPriority w:val="1"/>
    <w:unhideWhenUsed/>
    <w:qFormat/>
    <w:rsid w:val="00F640AD"/>
    <w:pPr>
      <w:widowControl w:val="0"/>
      <w:autoSpaceDE w:val="0"/>
      <w:autoSpaceDN w:val="0"/>
    </w:pPr>
    <w:rPr>
      <w:lang w:eastAsia="en-US"/>
    </w:rPr>
  </w:style>
  <w:style w:type="character" w:customStyle="1" w:styleId="CorpotestoCarattere">
    <w:name w:val="Corpo testo Carattere"/>
    <w:basedOn w:val="Carpredefinitoparagrafo"/>
    <w:link w:val="Corpotesto"/>
    <w:uiPriority w:val="1"/>
    <w:rsid w:val="00F640AD"/>
    <w:rPr>
      <w:rFonts w:ascii="Times New Roman" w:eastAsia="Times New Roman" w:hAnsi="Times New Roman"/>
      <w:lang w:eastAsia="en-US"/>
    </w:rPr>
  </w:style>
  <w:style w:type="paragraph" w:customStyle="1" w:styleId="Normale1">
    <w:name w:val="Normale1"/>
    <w:basedOn w:val="Normale"/>
    <w:rsid w:val="00C96496"/>
    <w:pPr>
      <w:spacing w:before="100" w:beforeAutospacing="1" w:after="100" w:afterAutospacing="1"/>
    </w:pPr>
  </w:style>
  <w:style w:type="paragraph" w:customStyle="1" w:styleId="EndNoteBibliography">
    <w:name w:val="EndNote Bibliography"/>
    <w:basedOn w:val="Normale"/>
    <w:link w:val="EndNoteBibliographyCarattere"/>
    <w:rsid w:val="00F93879"/>
    <w:pPr>
      <w:jc w:val="both"/>
    </w:pPr>
    <w:rPr>
      <w:noProof/>
    </w:rPr>
  </w:style>
  <w:style w:type="character" w:customStyle="1" w:styleId="EndNoteBibliographyCarattere">
    <w:name w:val="EndNote Bibliography Carattere"/>
    <w:basedOn w:val="Carpredefinitoparagrafo"/>
    <w:link w:val="EndNoteBibliography"/>
    <w:rsid w:val="00F93879"/>
    <w:rPr>
      <w:rFonts w:ascii="Times New Roman" w:eastAsia="Times New Roman" w:hAnsi="Times New Roman" w:cs="Times New Roman"/>
      <w:noProof/>
    </w:rPr>
  </w:style>
  <w:style w:type="paragraph" w:styleId="Intestazione">
    <w:name w:val="header"/>
    <w:basedOn w:val="Normale"/>
    <w:link w:val="IntestazioneCarattere"/>
    <w:uiPriority w:val="99"/>
    <w:unhideWhenUsed/>
    <w:rsid w:val="008C0A10"/>
    <w:pPr>
      <w:tabs>
        <w:tab w:val="center" w:pos="4819"/>
        <w:tab w:val="right" w:pos="9638"/>
      </w:tabs>
    </w:pPr>
  </w:style>
  <w:style w:type="character" w:customStyle="1" w:styleId="IntestazioneCarattere">
    <w:name w:val="Intestazione Carattere"/>
    <w:basedOn w:val="Carpredefinitoparagrafo"/>
    <w:link w:val="Intestazione"/>
    <w:uiPriority w:val="99"/>
    <w:rsid w:val="008C0A10"/>
    <w:rPr>
      <w:rFonts w:ascii="Times New Roman" w:eastAsia="Times New Roman" w:hAnsi="Times New Roman" w:cs="Times New Roman"/>
    </w:rPr>
  </w:style>
  <w:style w:type="character" w:customStyle="1" w:styleId="Titolo1Carattere">
    <w:name w:val="Titolo 1 Carattere"/>
    <w:basedOn w:val="Carpredefinitoparagrafo"/>
    <w:link w:val="Titolo1"/>
    <w:uiPriority w:val="9"/>
    <w:rsid w:val="003B62D3"/>
    <w:rPr>
      <w:rFonts w:ascii="Times New Roman" w:eastAsiaTheme="majorEastAsia" w:hAnsi="Times New Roman" w:cstheme="majorBidi"/>
      <w:b/>
      <w:color w:val="000000" w:themeColor="text1"/>
      <w:szCs w:val="32"/>
    </w:rPr>
  </w:style>
  <w:style w:type="paragraph" w:styleId="Titolosommario">
    <w:name w:val="TOC Heading"/>
    <w:basedOn w:val="Titolo1"/>
    <w:next w:val="Normale"/>
    <w:uiPriority w:val="39"/>
    <w:unhideWhenUsed/>
    <w:qFormat/>
    <w:rsid w:val="009834DD"/>
    <w:pPr>
      <w:spacing w:before="480" w:line="276" w:lineRule="auto"/>
      <w:outlineLvl w:val="9"/>
    </w:pPr>
    <w:rPr>
      <w:rFonts w:asciiTheme="majorHAnsi" w:hAnsiTheme="majorHAnsi"/>
      <w:b w:val="0"/>
      <w:bCs/>
      <w:color w:val="365F91" w:themeColor="accent1" w:themeShade="BF"/>
      <w:sz w:val="28"/>
      <w:szCs w:val="28"/>
    </w:rPr>
  </w:style>
  <w:style w:type="paragraph" w:styleId="Sommario1">
    <w:name w:val="toc 1"/>
    <w:basedOn w:val="Normale"/>
    <w:next w:val="Normale"/>
    <w:autoRedefine/>
    <w:uiPriority w:val="39"/>
    <w:unhideWhenUsed/>
    <w:rsid w:val="00FE547B"/>
    <w:pPr>
      <w:tabs>
        <w:tab w:val="left" w:pos="480"/>
        <w:tab w:val="right" w:leader="dot" w:pos="9622"/>
      </w:tabs>
      <w:spacing w:before="120"/>
    </w:pPr>
    <w:rPr>
      <w:rFonts w:asciiTheme="minorHAnsi" w:hAnsiTheme="minorHAnsi"/>
      <w:b/>
      <w:bCs/>
      <w:i/>
      <w:iCs/>
    </w:rPr>
  </w:style>
  <w:style w:type="character" w:styleId="Collegamentoipertestuale">
    <w:name w:val="Hyperlink"/>
    <w:basedOn w:val="Carpredefinitoparagrafo"/>
    <w:uiPriority w:val="99"/>
    <w:unhideWhenUsed/>
    <w:rsid w:val="009834DD"/>
    <w:rPr>
      <w:color w:val="0000FF" w:themeColor="hyperlink"/>
      <w:u w:val="single"/>
    </w:rPr>
  </w:style>
  <w:style w:type="paragraph" w:styleId="Sommario2">
    <w:name w:val="toc 2"/>
    <w:basedOn w:val="Normale"/>
    <w:next w:val="Normale"/>
    <w:autoRedefine/>
    <w:uiPriority w:val="39"/>
    <w:unhideWhenUsed/>
    <w:rsid w:val="00712F2D"/>
    <w:pPr>
      <w:tabs>
        <w:tab w:val="left" w:pos="426"/>
        <w:tab w:val="right" w:leader="dot" w:pos="9622"/>
      </w:tabs>
      <w:spacing w:before="120"/>
      <w:ind w:left="240" w:hanging="240"/>
    </w:pPr>
    <w:rPr>
      <w:rFonts w:asciiTheme="minorHAnsi" w:hAnsiTheme="minorHAnsi"/>
      <w:bCs/>
      <w:noProof/>
      <w:sz w:val="22"/>
      <w:szCs w:val="22"/>
    </w:rPr>
  </w:style>
  <w:style w:type="paragraph" w:styleId="Sommario3">
    <w:name w:val="toc 3"/>
    <w:basedOn w:val="Normale"/>
    <w:next w:val="Normale"/>
    <w:autoRedefine/>
    <w:uiPriority w:val="39"/>
    <w:unhideWhenUsed/>
    <w:rsid w:val="00DE228E"/>
    <w:pPr>
      <w:tabs>
        <w:tab w:val="left" w:pos="1200"/>
        <w:tab w:val="right" w:leader="dot" w:pos="9622"/>
      </w:tabs>
      <w:ind w:left="480" w:hanging="480"/>
    </w:pPr>
    <w:rPr>
      <w:rFonts w:asciiTheme="minorHAnsi" w:hAnsiTheme="minorHAnsi"/>
      <w:sz w:val="20"/>
      <w:szCs w:val="20"/>
    </w:rPr>
  </w:style>
  <w:style w:type="paragraph" w:styleId="Sommario4">
    <w:name w:val="toc 4"/>
    <w:basedOn w:val="Normale"/>
    <w:next w:val="Normale"/>
    <w:autoRedefine/>
    <w:uiPriority w:val="39"/>
    <w:unhideWhenUsed/>
    <w:rsid w:val="00DE228E"/>
    <w:pPr>
      <w:tabs>
        <w:tab w:val="right" w:leader="dot" w:pos="9622"/>
      </w:tabs>
    </w:pPr>
    <w:rPr>
      <w:rFonts w:asciiTheme="minorHAnsi" w:hAnsiTheme="minorHAnsi"/>
      <w:sz w:val="20"/>
      <w:szCs w:val="20"/>
    </w:rPr>
  </w:style>
  <w:style w:type="paragraph" w:styleId="Sommario5">
    <w:name w:val="toc 5"/>
    <w:basedOn w:val="Normale"/>
    <w:next w:val="Normale"/>
    <w:autoRedefine/>
    <w:uiPriority w:val="39"/>
    <w:unhideWhenUsed/>
    <w:rsid w:val="009834DD"/>
    <w:pPr>
      <w:ind w:left="960"/>
    </w:pPr>
    <w:rPr>
      <w:rFonts w:asciiTheme="minorHAnsi" w:hAnsiTheme="minorHAnsi"/>
      <w:sz w:val="20"/>
      <w:szCs w:val="20"/>
    </w:rPr>
  </w:style>
  <w:style w:type="paragraph" w:styleId="Sommario6">
    <w:name w:val="toc 6"/>
    <w:basedOn w:val="Normale"/>
    <w:next w:val="Normale"/>
    <w:autoRedefine/>
    <w:uiPriority w:val="39"/>
    <w:semiHidden/>
    <w:unhideWhenUsed/>
    <w:rsid w:val="009834DD"/>
    <w:pPr>
      <w:ind w:left="1200"/>
    </w:pPr>
    <w:rPr>
      <w:rFonts w:asciiTheme="minorHAnsi" w:hAnsiTheme="minorHAnsi"/>
      <w:sz w:val="20"/>
      <w:szCs w:val="20"/>
    </w:rPr>
  </w:style>
  <w:style w:type="paragraph" w:styleId="Sommario7">
    <w:name w:val="toc 7"/>
    <w:basedOn w:val="Normale"/>
    <w:next w:val="Normale"/>
    <w:autoRedefine/>
    <w:uiPriority w:val="39"/>
    <w:semiHidden/>
    <w:unhideWhenUsed/>
    <w:rsid w:val="009834DD"/>
    <w:pPr>
      <w:ind w:left="1440"/>
    </w:pPr>
    <w:rPr>
      <w:rFonts w:asciiTheme="minorHAnsi" w:hAnsiTheme="minorHAnsi"/>
      <w:sz w:val="20"/>
      <w:szCs w:val="20"/>
    </w:rPr>
  </w:style>
  <w:style w:type="paragraph" w:styleId="Sommario8">
    <w:name w:val="toc 8"/>
    <w:basedOn w:val="Normale"/>
    <w:next w:val="Normale"/>
    <w:autoRedefine/>
    <w:uiPriority w:val="39"/>
    <w:semiHidden/>
    <w:unhideWhenUsed/>
    <w:rsid w:val="009834DD"/>
    <w:pPr>
      <w:ind w:left="1680"/>
    </w:pPr>
    <w:rPr>
      <w:rFonts w:asciiTheme="minorHAnsi" w:hAnsiTheme="minorHAnsi"/>
      <w:sz w:val="20"/>
      <w:szCs w:val="20"/>
    </w:rPr>
  </w:style>
  <w:style w:type="paragraph" w:styleId="Sommario9">
    <w:name w:val="toc 9"/>
    <w:basedOn w:val="Normale"/>
    <w:next w:val="Normale"/>
    <w:autoRedefine/>
    <w:uiPriority w:val="39"/>
    <w:semiHidden/>
    <w:unhideWhenUsed/>
    <w:rsid w:val="009834DD"/>
    <w:pPr>
      <w:ind w:left="1920"/>
    </w:pPr>
    <w:rPr>
      <w:rFonts w:asciiTheme="minorHAnsi" w:hAnsiTheme="minorHAnsi"/>
      <w:sz w:val="20"/>
      <w:szCs w:val="20"/>
    </w:rPr>
  </w:style>
  <w:style w:type="character" w:customStyle="1" w:styleId="Titolo2Carattere">
    <w:name w:val="Titolo 2 Carattere"/>
    <w:basedOn w:val="Carpredefinitoparagrafo"/>
    <w:link w:val="Titolo2"/>
    <w:uiPriority w:val="9"/>
    <w:rsid w:val="009834DD"/>
    <w:rPr>
      <w:rFonts w:ascii="Times New Roman" w:eastAsiaTheme="majorEastAsia" w:hAnsi="Times New Roman" w:cstheme="majorBidi"/>
      <w:b/>
      <w:color w:val="000000" w:themeColor="text1"/>
      <w:szCs w:val="26"/>
    </w:rPr>
  </w:style>
  <w:style w:type="character" w:customStyle="1" w:styleId="Titolo3Carattere">
    <w:name w:val="Titolo 3 Carattere"/>
    <w:basedOn w:val="Carpredefinitoparagrafo"/>
    <w:link w:val="Titolo3"/>
    <w:uiPriority w:val="9"/>
    <w:rsid w:val="00046EDB"/>
    <w:rPr>
      <w:rFonts w:ascii="Times New Roman" w:eastAsiaTheme="majorEastAsia" w:hAnsi="Times New Roman" w:cstheme="majorBidi"/>
      <w:b/>
      <w:color w:val="000000" w:themeColor="text1"/>
    </w:rPr>
  </w:style>
  <w:style w:type="character" w:customStyle="1" w:styleId="Titolo4Carattere">
    <w:name w:val="Titolo 4 Carattere"/>
    <w:basedOn w:val="Carpredefinitoparagrafo"/>
    <w:link w:val="Titolo4"/>
    <w:uiPriority w:val="9"/>
    <w:rsid w:val="00B66212"/>
    <w:rPr>
      <w:rFonts w:ascii="Times New Roman" w:eastAsiaTheme="majorEastAsia" w:hAnsi="Times New Roman" w:cstheme="majorBidi"/>
      <w:b/>
      <w:iCs/>
      <w:color w:val="000000" w:themeColor="text1"/>
    </w:rPr>
  </w:style>
  <w:style w:type="character" w:customStyle="1" w:styleId="Titolo5Carattere">
    <w:name w:val="Titolo 5 Carattere"/>
    <w:basedOn w:val="Carpredefinitoparagrafo"/>
    <w:link w:val="Titolo5"/>
    <w:uiPriority w:val="9"/>
    <w:rsid w:val="00CE1C5F"/>
    <w:rPr>
      <w:rFonts w:ascii="Times New Roman" w:eastAsiaTheme="majorEastAsia" w:hAnsi="Times New Roman" w:cstheme="majorBidi"/>
      <w:b/>
      <w:color w:val="000000" w:themeColor="text1"/>
    </w:rPr>
  </w:style>
  <w:style w:type="paragraph" w:styleId="PreformattatoHTML">
    <w:name w:val="HTML Preformatted"/>
    <w:basedOn w:val="Normale"/>
    <w:link w:val="PreformattatoHTMLCarattere"/>
    <w:uiPriority w:val="99"/>
    <w:unhideWhenUsed/>
    <w:rsid w:val="002C6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2C6EFA"/>
    <w:rPr>
      <w:rFonts w:ascii="Courier New" w:eastAsia="Times New Roman" w:hAnsi="Courier New" w:cs="Courier New"/>
      <w:sz w:val="20"/>
      <w:szCs w:val="20"/>
    </w:rPr>
  </w:style>
  <w:style w:type="character" w:customStyle="1" w:styleId="y2iqfc">
    <w:name w:val="y2iqfc"/>
    <w:basedOn w:val="Carpredefinitoparagrafo"/>
    <w:rsid w:val="002C6EFA"/>
  </w:style>
  <w:style w:type="paragraph" w:styleId="Nessunaspaziatura">
    <w:name w:val="No Spacing"/>
    <w:uiPriority w:val="1"/>
    <w:qFormat/>
    <w:rsid w:val="00E576B6"/>
    <w:rPr>
      <w:rFonts w:ascii="Times New Roman" w:eastAsia="Times New Roman" w:hAnsi="Times New Roman" w:cs="Times New Roman"/>
    </w:rPr>
  </w:style>
  <w:style w:type="paragraph" w:styleId="NormaleWeb">
    <w:name w:val="Normal (Web)"/>
    <w:basedOn w:val="Normale"/>
    <w:uiPriority w:val="99"/>
    <w:unhideWhenUsed/>
    <w:rsid w:val="007D736A"/>
    <w:pPr>
      <w:spacing w:before="100" w:beforeAutospacing="1" w:after="100" w:afterAutospacing="1"/>
    </w:pPr>
  </w:style>
  <w:style w:type="character" w:styleId="Testosegnaposto">
    <w:name w:val="Placeholder Text"/>
    <w:basedOn w:val="Carpredefinitoparagrafo"/>
    <w:uiPriority w:val="99"/>
    <w:semiHidden/>
    <w:rsid w:val="000A5AA3"/>
    <w:rPr>
      <w:color w:val="808080"/>
    </w:rPr>
  </w:style>
  <w:style w:type="character" w:styleId="Enfasigrassetto">
    <w:name w:val="Strong"/>
    <w:basedOn w:val="Carpredefinitoparagrafo"/>
    <w:uiPriority w:val="22"/>
    <w:qFormat/>
    <w:rsid w:val="003546A1"/>
    <w:rPr>
      <w:b/>
      <w:bCs/>
    </w:rPr>
  </w:style>
  <w:style w:type="character" w:styleId="Enfasicorsivo">
    <w:name w:val="Emphasis"/>
    <w:basedOn w:val="Carpredefinitoparagrafo"/>
    <w:uiPriority w:val="20"/>
    <w:qFormat/>
    <w:rsid w:val="003546A1"/>
    <w:rPr>
      <w:i/>
      <w:iCs/>
    </w:rPr>
  </w:style>
  <w:style w:type="paragraph" w:customStyle="1" w:styleId="data-author">
    <w:name w:val="data-author"/>
    <w:basedOn w:val="Normale"/>
    <w:rsid w:val="0077012A"/>
    <w:pPr>
      <w:spacing w:before="100" w:beforeAutospacing="1" w:after="100" w:afterAutospacing="1"/>
    </w:pPr>
  </w:style>
  <w:style w:type="character" w:customStyle="1" w:styleId="meta-value">
    <w:name w:val="meta-value"/>
    <w:basedOn w:val="Carpredefinitoparagrafo"/>
    <w:rsid w:val="0077012A"/>
  </w:style>
  <w:style w:type="character" w:customStyle="1" w:styleId="jp-italic">
    <w:name w:val="jp-italic"/>
    <w:basedOn w:val="Carpredefinitoparagrafo"/>
    <w:rsid w:val="0077012A"/>
  </w:style>
  <w:style w:type="character" w:styleId="Collegamentovisitato">
    <w:name w:val="FollowedHyperlink"/>
    <w:basedOn w:val="Carpredefinitoparagrafo"/>
    <w:uiPriority w:val="99"/>
    <w:semiHidden/>
    <w:unhideWhenUsed/>
    <w:rsid w:val="00802575"/>
    <w:rPr>
      <w:color w:val="800080" w:themeColor="followedHyperlink"/>
      <w:u w:val="single"/>
    </w:rPr>
  </w:style>
  <w:style w:type="character" w:customStyle="1" w:styleId="Menzionenonrisolta1">
    <w:name w:val="Menzione non risolta1"/>
    <w:basedOn w:val="Carpredefinitoparagrafo"/>
    <w:uiPriority w:val="99"/>
    <w:rsid w:val="000E0DCE"/>
    <w:rPr>
      <w:color w:val="605E5C"/>
      <w:shd w:val="clear" w:color="auto" w:fill="E1DFDD"/>
    </w:rPr>
  </w:style>
  <w:style w:type="paragraph" w:customStyle="1" w:styleId="Default">
    <w:name w:val="Default"/>
    <w:rsid w:val="00EE216E"/>
    <w:pPr>
      <w:autoSpaceDE w:val="0"/>
      <w:autoSpaceDN w:val="0"/>
      <w:adjustRightInd w:val="0"/>
    </w:pPr>
    <w:rPr>
      <w:rFonts w:ascii="Times New Roman" w:hAnsi="Times New Roman" w:cs="Times New Roman"/>
      <w:color w:val="000000"/>
    </w:rPr>
  </w:style>
  <w:style w:type="table" w:styleId="Grigliatabella">
    <w:name w:val="Table Grid"/>
    <w:basedOn w:val="Tabellanormale"/>
    <w:uiPriority w:val="39"/>
    <w:rsid w:val="00C50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45E0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5E01"/>
    <w:rPr>
      <w:rFonts w:ascii="Tahoma" w:eastAsia="Times New Roman" w:hAnsi="Tahoma" w:cs="Tahoma"/>
      <w:sz w:val="16"/>
      <w:szCs w:val="16"/>
    </w:rPr>
  </w:style>
  <w:style w:type="character" w:styleId="Rimandocommento">
    <w:name w:val="annotation reference"/>
    <w:basedOn w:val="Carpredefinitoparagrafo"/>
    <w:uiPriority w:val="99"/>
    <w:semiHidden/>
    <w:unhideWhenUsed/>
    <w:rsid w:val="00745E01"/>
    <w:rPr>
      <w:sz w:val="16"/>
      <w:szCs w:val="16"/>
    </w:rPr>
  </w:style>
  <w:style w:type="paragraph" w:styleId="Testocommento">
    <w:name w:val="annotation text"/>
    <w:basedOn w:val="Normale"/>
    <w:link w:val="TestocommentoCarattere"/>
    <w:uiPriority w:val="99"/>
    <w:semiHidden/>
    <w:unhideWhenUsed/>
    <w:rsid w:val="00745E01"/>
    <w:rPr>
      <w:sz w:val="20"/>
      <w:szCs w:val="20"/>
    </w:rPr>
  </w:style>
  <w:style w:type="character" w:customStyle="1" w:styleId="TestocommentoCarattere">
    <w:name w:val="Testo commento Carattere"/>
    <w:basedOn w:val="Carpredefinitoparagrafo"/>
    <w:link w:val="Testocommento"/>
    <w:uiPriority w:val="99"/>
    <w:semiHidden/>
    <w:rsid w:val="00745E01"/>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745E01"/>
    <w:rPr>
      <w:b/>
      <w:bCs/>
    </w:rPr>
  </w:style>
  <w:style w:type="character" w:customStyle="1" w:styleId="SoggettocommentoCarattere">
    <w:name w:val="Soggetto commento Carattere"/>
    <w:basedOn w:val="TestocommentoCarattere"/>
    <w:link w:val="Soggettocommento"/>
    <w:uiPriority w:val="99"/>
    <w:semiHidden/>
    <w:rsid w:val="00745E01"/>
    <w:rPr>
      <w:rFonts w:ascii="Times New Roman" w:eastAsia="Times New Roman" w:hAnsi="Times New Roman" w:cs="Times New Roman"/>
      <w:b/>
      <w:bCs/>
      <w:sz w:val="20"/>
      <w:szCs w:val="20"/>
    </w:rPr>
  </w:style>
  <w:style w:type="character" w:styleId="Menzionenonrisolta">
    <w:name w:val="Unresolved Mention"/>
    <w:basedOn w:val="Carpredefinitoparagrafo"/>
    <w:uiPriority w:val="99"/>
    <w:semiHidden/>
    <w:unhideWhenUsed/>
    <w:rsid w:val="001A565D"/>
    <w:rPr>
      <w:color w:val="605E5C"/>
      <w:shd w:val="clear" w:color="auto" w:fill="E1DFDD"/>
    </w:rPr>
  </w:style>
  <w:style w:type="paragraph" w:styleId="Revisione">
    <w:name w:val="Revision"/>
    <w:hidden/>
    <w:uiPriority w:val="99"/>
    <w:semiHidden/>
    <w:rsid w:val="005F168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55">
      <w:bodyDiv w:val="1"/>
      <w:marLeft w:val="0"/>
      <w:marRight w:val="0"/>
      <w:marTop w:val="0"/>
      <w:marBottom w:val="0"/>
      <w:divBdr>
        <w:top w:val="none" w:sz="0" w:space="0" w:color="auto"/>
        <w:left w:val="none" w:sz="0" w:space="0" w:color="auto"/>
        <w:bottom w:val="none" w:sz="0" w:space="0" w:color="auto"/>
        <w:right w:val="none" w:sz="0" w:space="0" w:color="auto"/>
      </w:divBdr>
    </w:div>
    <w:div w:id="477882">
      <w:bodyDiv w:val="1"/>
      <w:marLeft w:val="0"/>
      <w:marRight w:val="0"/>
      <w:marTop w:val="0"/>
      <w:marBottom w:val="0"/>
      <w:divBdr>
        <w:top w:val="none" w:sz="0" w:space="0" w:color="auto"/>
        <w:left w:val="none" w:sz="0" w:space="0" w:color="auto"/>
        <w:bottom w:val="none" w:sz="0" w:space="0" w:color="auto"/>
        <w:right w:val="none" w:sz="0" w:space="0" w:color="auto"/>
      </w:divBdr>
    </w:div>
    <w:div w:id="14427304">
      <w:bodyDiv w:val="1"/>
      <w:marLeft w:val="0"/>
      <w:marRight w:val="0"/>
      <w:marTop w:val="0"/>
      <w:marBottom w:val="0"/>
      <w:divBdr>
        <w:top w:val="none" w:sz="0" w:space="0" w:color="auto"/>
        <w:left w:val="none" w:sz="0" w:space="0" w:color="auto"/>
        <w:bottom w:val="none" w:sz="0" w:space="0" w:color="auto"/>
        <w:right w:val="none" w:sz="0" w:space="0" w:color="auto"/>
      </w:divBdr>
    </w:div>
    <w:div w:id="16320999">
      <w:bodyDiv w:val="1"/>
      <w:marLeft w:val="0"/>
      <w:marRight w:val="0"/>
      <w:marTop w:val="0"/>
      <w:marBottom w:val="0"/>
      <w:divBdr>
        <w:top w:val="none" w:sz="0" w:space="0" w:color="auto"/>
        <w:left w:val="none" w:sz="0" w:space="0" w:color="auto"/>
        <w:bottom w:val="none" w:sz="0" w:space="0" w:color="auto"/>
        <w:right w:val="none" w:sz="0" w:space="0" w:color="auto"/>
      </w:divBdr>
    </w:div>
    <w:div w:id="29649290">
      <w:bodyDiv w:val="1"/>
      <w:marLeft w:val="0"/>
      <w:marRight w:val="0"/>
      <w:marTop w:val="0"/>
      <w:marBottom w:val="0"/>
      <w:divBdr>
        <w:top w:val="none" w:sz="0" w:space="0" w:color="auto"/>
        <w:left w:val="none" w:sz="0" w:space="0" w:color="auto"/>
        <w:bottom w:val="none" w:sz="0" w:space="0" w:color="auto"/>
        <w:right w:val="none" w:sz="0" w:space="0" w:color="auto"/>
      </w:divBdr>
    </w:div>
    <w:div w:id="36975809">
      <w:bodyDiv w:val="1"/>
      <w:marLeft w:val="0"/>
      <w:marRight w:val="0"/>
      <w:marTop w:val="0"/>
      <w:marBottom w:val="0"/>
      <w:divBdr>
        <w:top w:val="none" w:sz="0" w:space="0" w:color="auto"/>
        <w:left w:val="none" w:sz="0" w:space="0" w:color="auto"/>
        <w:bottom w:val="none" w:sz="0" w:space="0" w:color="auto"/>
        <w:right w:val="none" w:sz="0" w:space="0" w:color="auto"/>
      </w:divBdr>
    </w:div>
    <w:div w:id="40136575">
      <w:bodyDiv w:val="1"/>
      <w:marLeft w:val="0"/>
      <w:marRight w:val="0"/>
      <w:marTop w:val="0"/>
      <w:marBottom w:val="0"/>
      <w:divBdr>
        <w:top w:val="none" w:sz="0" w:space="0" w:color="auto"/>
        <w:left w:val="none" w:sz="0" w:space="0" w:color="auto"/>
        <w:bottom w:val="none" w:sz="0" w:space="0" w:color="auto"/>
        <w:right w:val="none" w:sz="0" w:space="0" w:color="auto"/>
      </w:divBdr>
    </w:div>
    <w:div w:id="43217220">
      <w:bodyDiv w:val="1"/>
      <w:marLeft w:val="0"/>
      <w:marRight w:val="0"/>
      <w:marTop w:val="0"/>
      <w:marBottom w:val="0"/>
      <w:divBdr>
        <w:top w:val="none" w:sz="0" w:space="0" w:color="auto"/>
        <w:left w:val="none" w:sz="0" w:space="0" w:color="auto"/>
        <w:bottom w:val="none" w:sz="0" w:space="0" w:color="auto"/>
        <w:right w:val="none" w:sz="0" w:space="0" w:color="auto"/>
      </w:divBdr>
    </w:div>
    <w:div w:id="57558739">
      <w:bodyDiv w:val="1"/>
      <w:marLeft w:val="0"/>
      <w:marRight w:val="0"/>
      <w:marTop w:val="0"/>
      <w:marBottom w:val="0"/>
      <w:divBdr>
        <w:top w:val="none" w:sz="0" w:space="0" w:color="auto"/>
        <w:left w:val="none" w:sz="0" w:space="0" w:color="auto"/>
        <w:bottom w:val="none" w:sz="0" w:space="0" w:color="auto"/>
        <w:right w:val="none" w:sz="0" w:space="0" w:color="auto"/>
      </w:divBdr>
    </w:div>
    <w:div w:id="59377511">
      <w:bodyDiv w:val="1"/>
      <w:marLeft w:val="0"/>
      <w:marRight w:val="0"/>
      <w:marTop w:val="0"/>
      <w:marBottom w:val="0"/>
      <w:divBdr>
        <w:top w:val="none" w:sz="0" w:space="0" w:color="auto"/>
        <w:left w:val="none" w:sz="0" w:space="0" w:color="auto"/>
        <w:bottom w:val="none" w:sz="0" w:space="0" w:color="auto"/>
        <w:right w:val="none" w:sz="0" w:space="0" w:color="auto"/>
      </w:divBdr>
    </w:div>
    <w:div w:id="73163025">
      <w:bodyDiv w:val="1"/>
      <w:marLeft w:val="0"/>
      <w:marRight w:val="0"/>
      <w:marTop w:val="0"/>
      <w:marBottom w:val="0"/>
      <w:divBdr>
        <w:top w:val="none" w:sz="0" w:space="0" w:color="auto"/>
        <w:left w:val="none" w:sz="0" w:space="0" w:color="auto"/>
        <w:bottom w:val="none" w:sz="0" w:space="0" w:color="auto"/>
        <w:right w:val="none" w:sz="0" w:space="0" w:color="auto"/>
      </w:divBdr>
      <w:divsChild>
        <w:div w:id="1542596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70363">
      <w:bodyDiv w:val="1"/>
      <w:marLeft w:val="0"/>
      <w:marRight w:val="0"/>
      <w:marTop w:val="0"/>
      <w:marBottom w:val="0"/>
      <w:divBdr>
        <w:top w:val="none" w:sz="0" w:space="0" w:color="auto"/>
        <w:left w:val="none" w:sz="0" w:space="0" w:color="auto"/>
        <w:bottom w:val="none" w:sz="0" w:space="0" w:color="auto"/>
        <w:right w:val="none" w:sz="0" w:space="0" w:color="auto"/>
      </w:divBdr>
    </w:div>
    <w:div w:id="82344174">
      <w:bodyDiv w:val="1"/>
      <w:marLeft w:val="0"/>
      <w:marRight w:val="0"/>
      <w:marTop w:val="0"/>
      <w:marBottom w:val="0"/>
      <w:divBdr>
        <w:top w:val="none" w:sz="0" w:space="0" w:color="auto"/>
        <w:left w:val="none" w:sz="0" w:space="0" w:color="auto"/>
        <w:bottom w:val="none" w:sz="0" w:space="0" w:color="auto"/>
        <w:right w:val="none" w:sz="0" w:space="0" w:color="auto"/>
      </w:divBdr>
    </w:div>
    <w:div w:id="84110485">
      <w:bodyDiv w:val="1"/>
      <w:marLeft w:val="0"/>
      <w:marRight w:val="0"/>
      <w:marTop w:val="0"/>
      <w:marBottom w:val="0"/>
      <w:divBdr>
        <w:top w:val="none" w:sz="0" w:space="0" w:color="auto"/>
        <w:left w:val="none" w:sz="0" w:space="0" w:color="auto"/>
        <w:bottom w:val="none" w:sz="0" w:space="0" w:color="auto"/>
        <w:right w:val="none" w:sz="0" w:space="0" w:color="auto"/>
      </w:divBdr>
    </w:div>
    <w:div w:id="89401005">
      <w:bodyDiv w:val="1"/>
      <w:marLeft w:val="0"/>
      <w:marRight w:val="0"/>
      <w:marTop w:val="0"/>
      <w:marBottom w:val="0"/>
      <w:divBdr>
        <w:top w:val="none" w:sz="0" w:space="0" w:color="auto"/>
        <w:left w:val="none" w:sz="0" w:space="0" w:color="auto"/>
        <w:bottom w:val="none" w:sz="0" w:space="0" w:color="auto"/>
        <w:right w:val="none" w:sz="0" w:space="0" w:color="auto"/>
      </w:divBdr>
    </w:div>
    <w:div w:id="93789206">
      <w:bodyDiv w:val="1"/>
      <w:marLeft w:val="0"/>
      <w:marRight w:val="0"/>
      <w:marTop w:val="0"/>
      <w:marBottom w:val="0"/>
      <w:divBdr>
        <w:top w:val="none" w:sz="0" w:space="0" w:color="auto"/>
        <w:left w:val="none" w:sz="0" w:space="0" w:color="auto"/>
        <w:bottom w:val="none" w:sz="0" w:space="0" w:color="auto"/>
        <w:right w:val="none" w:sz="0" w:space="0" w:color="auto"/>
      </w:divBdr>
      <w:divsChild>
        <w:div w:id="1366565397">
          <w:marLeft w:val="0"/>
          <w:marRight w:val="0"/>
          <w:marTop w:val="0"/>
          <w:marBottom w:val="0"/>
          <w:divBdr>
            <w:top w:val="none" w:sz="0" w:space="0" w:color="auto"/>
            <w:left w:val="none" w:sz="0" w:space="0" w:color="auto"/>
            <w:bottom w:val="none" w:sz="0" w:space="0" w:color="auto"/>
            <w:right w:val="none" w:sz="0" w:space="0" w:color="auto"/>
          </w:divBdr>
        </w:div>
      </w:divsChild>
    </w:div>
    <w:div w:id="95367447">
      <w:bodyDiv w:val="1"/>
      <w:marLeft w:val="0"/>
      <w:marRight w:val="0"/>
      <w:marTop w:val="0"/>
      <w:marBottom w:val="0"/>
      <w:divBdr>
        <w:top w:val="none" w:sz="0" w:space="0" w:color="auto"/>
        <w:left w:val="none" w:sz="0" w:space="0" w:color="auto"/>
        <w:bottom w:val="none" w:sz="0" w:space="0" w:color="auto"/>
        <w:right w:val="none" w:sz="0" w:space="0" w:color="auto"/>
      </w:divBdr>
    </w:div>
    <w:div w:id="97217318">
      <w:bodyDiv w:val="1"/>
      <w:marLeft w:val="0"/>
      <w:marRight w:val="0"/>
      <w:marTop w:val="0"/>
      <w:marBottom w:val="0"/>
      <w:divBdr>
        <w:top w:val="none" w:sz="0" w:space="0" w:color="auto"/>
        <w:left w:val="none" w:sz="0" w:space="0" w:color="auto"/>
        <w:bottom w:val="none" w:sz="0" w:space="0" w:color="auto"/>
        <w:right w:val="none" w:sz="0" w:space="0" w:color="auto"/>
      </w:divBdr>
    </w:div>
    <w:div w:id="104204302">
      <w:bodyDiv w:val="1"/>
      <w:marLeft w:val="0"/>
      <w:marRight w:val="0"/>
      <w:marTop w:val="0"/>
      <w:marBottom w:val="0"/>
      <w:divBdr>
        <w:top w:val="none" w:sz="0" w:space="0" w:color="auto"/>
        <w:left w:val="none" w:sz="0" w:space="0" w:color="auto"/>
        <w:bottom w:val="none" w:sz="0" w:space="0" w:color="auto"/>
        <w:right w:val="none" w:sz="0" w:space="0" w:color="auto"/>
      </w:divBdr>
    </w:div>
    <w:div w:id="105317318">
      <w:bodyDiv w:val="1"/>
      <w:marLeft w:val="0"/>
      <w:marRight w:val="0"/>
      <w:marTop w:val="0"/>
      <w:marBottom w:val="0"/>
      <w:divBdr>
        <w:top w:val="none" w:sz="0" w:space="0" w:color="auto"/>
        <w:left w:val="none" w:sz="0" w:space="0" w:color="auto"/>
        <w:bottom w:val="none" w:sz="0" w:space="0" w:color="auto"/>
        <w:right w:val="none" w:sz="0" w:space="0" w:color="auto"/>
      </w:divBdr>
    </w:div>
    <w:div w:id="112749606">
      <w:bodyDiv w:val="1"/>
      <w:marLeft w:val="0"/>
      <w:marRight w:val="0"/>
      <w:marTop w:val="0"/>
      <w:marBottom w:val="0"/>
      <w:divBdr>
        <w:top w:val="none" w:sz="0" w:space="0" w:color="auto"/>
        <w:left w:val="none" w:sz="0" w:space="0" w:color="auto"/>
        <w:bottom w:val="none" w:sz="0" w:space="0" w:color="auto"/>
        <w:right w:val="none" w:sz="0" w:space="0" w:color="auto"/>
      </w:divBdr>
    </w:div>
    <w:div w:id="126514065">
      <w:bodyDiv w:val="1"/>
      <w:marLeft w:val="0"/>
      <w:marRight w:val="0"/>
      <w:marTop w:val="0"/>
      <w:marBottom w:val="0"/>
      <w:divBdr>
        <w:top w:val="none" w:sz="0" w:space="0" w:color="auto"/>
        <w:left w:val="none" w:sz="0" w:space="0" w:color="auto"/>
        <w:bottom w:val="none" w:sz="0" w:space="0" w:color="auto"/>
        <w:right w:val="none" w:sz="0" w:space="0" w:color="auto"/>
      </w:divBdr>
    </w:div>
    <w:div w:id="131794514">
      <w:bodyDiv w:val="1"/>
      <w:marLeft w:val="0"/>
      <w:marRight w:val="0"/>
      <w:marTop w:val="0"/>
      <w:marBottom w:val="0"/>
      <w:divBdr>
        <w:top w:val="none" w:sz="0" w:space="0" w:color="auto"/>
        <w:left w:val="none" w:sz="0" w:space="0" w:color="auto"/>
        <w:bottom w:val="none" w:sz="0" w:space="0" w:color="auto"/>
        <w:right w:val="none" w:sz="0" w:space="0" w:color="auto"/>
      </w:divBdr>
    </w:div>
    <w:div w:id="132068459">
      <w:bodyDiv w:val="1"/>
      <w:marLeft w:val="0"/>
      <w:marRight w:val="0"/>
      <w:marTop w:val="0"/>
      <w:marBottom w:val="0"/>
      <w:divBdr>
        <w:top w:val="none" w:sz="0" w:space="0" w:color="auto"/>
        <w:left w:val="none" w:sz="0" w:space="0" w:color="auto"/>
        <w:bottom w:val="none" w:sz="0" w:space="0" w:color="auto"/>
        <w:right w:val="none" w:sz="0" w:space="0" w:color="auto"/>
      </w:divBdr>
    </w:div>
    <w:div w:id="133527507">
      <w:bodyDiv w:val="1"/>
      <w:marLeft w:val="0"/>
      <w:marRight w:val="0"/>
      <w:marTop w:val="0"/>
      <w:marBottom w:val="0"/>
      <w:divBdr>
        <w:top w:val="none" w:sz="0" w:space="0" w:color="auto"/>
        <w:left w:val="none" w:sz="0" w:space="0" w:color="auto"/>
        <w:bottom w:val="none" w:sz="0" w:space="0" w:color="auto"/>
        <w:right w:val="none" w:sz="0" w:space="0" w:color="auto"/>
      </w:divBdr>
    </w:div>
    <w:div w:id="138811320">
      <w:bodyDiv w:val="1"/>
      <w:marLeft w:val="0"/>
      <w:marRight w:val="0"/>
      <w:marTop w:val="0"/>
      <w:marBottom w:val="0"/>
      <w:divBdr>
        <w:top w:val="none" w:sz="0" w:space="0" w:color="auto"/>
        <w:left w:val="none" w:sz="0" w:space="0" w:color="auto"/>
        <w:bottom w:val="none" w:sz="0" w:space="0" w:color="auto"/>
        <w:right w:val="none" w:sz="0" w:space="0" w:color="auto"/>
      </w:divBdr>
      <w:divsChild>
        <w:div w:id="910693367">
          <w:marLeft w:val="0"/>
          <w:marRight w:val="0"/>
          <w:marTop w:val="0"/>
          <w:marBottom w:val="0"/>
          <w:divBdr>
            <w:top w:val="none" w:sz="0" w:space="0" w:color="auto"/>
            <w:left w:val="none" w:sz="0" w:space="0" w:color="auto"/>
            <w:bottom w:val="none" w:sz="0" w:space="0" w:color="auto"/>
            <w:right w:val="none" w:sz="0" w:space="0" w:color="auto"/>
          </w:divBdr>
          <w:divsChild>
            <w:div w:id="283199504">
              <w:marLeft w:val="0"/>
              <w:marRight w:val="0"/>
              <w:marTop w:val="0"/>
              <w:marBottom w:val="0"/>
              <w:divBdr>
                <w:top w:val="none" w:sz="0" w:space="0" w:color="auto"/>
                <w:left w:val="none" w:sz="0" w:space="0" w:color="auto"/>
                <w:bottom w:val="none" w:sz="0" w:space="0" w:color="auto"/>
                <w:right w:val="none" w:sz="0" w:space="0" w:color="auto"/>
              </w:divBdr>
              <w:divsChild>
                <w:div w:id="185565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1873">
      <w:bodyDiv w:val="1"/>
      <w:marLeft w:val="0"/>
      <w:marRight w:val="0"/>
      <w:marTop w:val="0"/>
      <w:marBottom w:val="0"/>
      <w:divBdr>
        <w:top w:val="none" w:sz="0" w:space="0" w:color="auto"/>
        <w:left w:val="none" w:sz="0" w:space="0" w:color="auto"/>
        <w:bottom w:val="none" w:sz="0" w:space="0" w:color="auto"/>
        <w:right w:val="none" w:sz="0" w:space="0" w:color="auto"/>
      </w:divBdr>
    </w:div>
    <w:div w:id="141166430">
      <w:bodyDiv w:val="1"/>
      <w:marLeft w:val="0"/>
      <w:marRight w:val="0"/>
      <w:marTop w:val="0"/>
      <w:marBottom w:val="0"/>
      <w:divBdr>
        <w:top w:val="none" w:sz="0" w:space="0" w:color="auto"/>
        <w:left w:val="none" w:sz="0" w:space="0" w:color="auto"/>
        <w:bottom w:val="none" w:sz="0" w:space="0" w:color="auto"/>
        <w:right w:val="none" w:sz="0" w:space="0" w:color="auto"/>
      </w:divBdr>
    </w:div>
    <w:div w:id="150368141">
      <w:bodyDiv w:val="1"/>
      <w:marLeft w:val="0"/>
      <w:marRight w:val="0"/>
      <w:marTop w:val="0"/>
      <w:marBottom w:val="0"/>
      <w:divBdr>
        <w:top w:val="none" w:sz="0" w:space="0" w:color="auto"/>
        <w:left w:val="none" w:sz="0" w:space="0" w:color="auto"/>
        <w:bottom w:val="none" w:sz="0" w:space="0" w:color="auto"/>
        <w:right w:val="none" w:sz="0" w:space="0" w:color="auto"/>
      </w:divBdr>
    </w:div>
    <w:div w:id="150606757">
      <w:bodyDiv w:val="1"/>
      <w:marLeft w:val="0"/>
      <w:marRight w:val="0"/>
      <w:marTop w:val="0"/>
      <w:marBottom w:val="0"/>
      <w:divBdr>
        <w:top w:val="none" w:sz="0" w:space="0" w:color="auto"/>
        <w:left w:val="none" w:sz="0" w:space="0" w:color="auto"/>
        <w:bottom w:val="none" w:sz="0" w:space="0" w:color="auto"/>
        <w:right w:val="none" w:sz="0" w:space="0" w:color="auto"/>
      </w:divBdr>
    </w:div>
    <w:div w:id="151265316">
      <w:bodyDiv w:val="1"/>
      <w:marLeft w:val="0"/>
      <w:marRight w:val="0"/>
      <w:marTop w:val="0"/>
      <w:marBottom w:val="0"/>
      <w:divBdr>
        <w:top w:val="none" w:sz="0" w:space="0" w:color="auto"/>
        <w:left w:val="none" w:sz="0" w:space="0" w:color="auto"/>
        <w:bottom w:val="none" w:sz="0" w:space="0" w:color="auto"/>
        <w:right w:val="none" w:sz="0" w:space="0" w:color="auto"/>
      </w:divBdr>
    </w:div>
    <w:div w:id="152189034">
      <w:bodyDiv w:val="1"/>
      <w:marLeft w:val="0"/>
      <w:marRight w:val="0"/>
      <w:marTop w:val="0"/>
      <w:marBottom w:val="0"/>
      <w:divBdr>
        <w:top w:val="none" w:sz="0" w:space="0" w:color="auto"/>
        <w:left w:val="none" w:sz="0" w:space="0" w:color="auto"/>
        <w:bottom w:val="none" w:sz="0" w:space="0" w:color="auto"/>
        <w:right w:val="none" w:sz="0" w:space="0" w:color="auto"/>
      </w:divBdr>
    </w:div>
    <w:div w:id="154418368">
      <w:bodyDiv w:val="1"/>
      <w:marLeft w:val="0"/>
      <w:marRight w:val="0"/>
      <w:marTop w:val="0"/>
      <w:marBottom w:val="0"/>
      <w:divBdr>
        <w:top w:val="none" w:sz="0" w:space="0" w:color="auto"/>
        <w:left w:val="none" w:sz="0" w:space="0" w:color="auto"/>
        <w:bottom w:val="none" w:sz="0" w:space="0" w:color="auto"/>
        <w:right w:val="none" w:sz="0" w:space="0" w:color="auto"/>
      </w:divBdr>
    </w:div>
    <w:div w:id="161433788">
      <w:bodyDiv w:val="1"/>
      <w:marLeft w:val="0"/>
      <w:marRight w:val="0"/>
      <w:marTop w:val="0"/>
      <w:marBottom w:val="0"/>
      <w:divBdr>
        <w:top w:val="none" w:sz="0" w:space="0" w:color="auto"/>
        <w:left w:val="none" w:sz="0" w:space="0" w:color="auto"/>
        <w:bottom w:val="none" w:sz="0" w:space="0" w:color="auto"/>
        <w:right w:val="none" w:sz="0" w:space="0" w:color="auto"/>
      </w:divBdr>
    </w:div>
    <w:div w:id="164828595">
      <w:bodyDiv w:val="1"/>
      <w:marLeft w:val="0"/>
      <w:marRight w:val="0"/>
      <w:marTop w:val="0"/>
      <w:marBottom w:val="0"/>
      <w:divBdr>
        <w:top w:val="none" w:sz="0" w:space="0" w:color="auto"/>
        <w:left w:val="none" w:sz="0" w:space="0" w:color="auto"/>
        <w:bottom w:val="none" w:sz="0" w:space="0" w:color="auto"/>
        <w:right w:val="none" w:sz="0" w:space="0" w:color="auto"/>
      </w:divBdr>
    </w:div>
    <w:div w:id="167596540">
      <w:bodyDiv w:val="1"/>
      <w:marLeft w:val="0"/>
      <w:marRight w:val="0"/>
      <w:marTop w:val="0"/>
      <w:marBottom w:val="0"/>
      <w:divBdr>
        <w:top w:val="none" w:sz="0" w:space="0" w:color="auto"/>
        <w:left w:val="none" w:sz="0" w:space="0" w:color="auto"/>
        <w:bottom w:val="none" w:sz="0" w:space="0" w:color="auto"/>
        <w:right w:val="none" w:sz="0" w:space="0" w:color="auto"/>
      </w:divBdr>
    </w:div>
    <w:div w:id="168057634">
      <w:bodyDiv w:val="1"/>
      <w:marLeft w:val="0"/>
      <w:marRight w:val="0"/>
      <w:marTop w:val="0"/>
      <w:marBottom w:val="0"/>
      <w:divBdr>
        <w:top w:val="none" w:sz="0" w:space="0" w:color="auto"/>
        <w:left w:val="none" w:sz="0" w:space="0" w:color="auto"/>
        <w:bottom w:val="none" w:sz="0" w:space="0" w:color="auto"/>
        <w:right w:val="none" w:sz="0" w:space="0" w:color="auto"/>
      </w:divBdr>
      <w:divsChild>
        <w:div w:id="1319770484">
          <w:marLeft w:val="0"/>
          <w:marRight w:val="0"/>
          <w:marTop w:val="0"/>
          <w:marBottom w:val="0"/>
          <w:divBdr>
            <w:top w:val="none" w:sz="0" w:space="0" w:color="auto"/>
            <w:left w:val="none" w:sz="0" w:space="0" w:color="auto"/>
            <w:bottom w:val="none" w:sz="0" w:space="0" w:color="auto"/>
            <w:right w:val="none" w:sz="0" w:space="0" w:color="auto"/>
          </w:divBdr>
          <w:divsChild>
            <w:div w:id="176313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7501">
      <w:bodyDiv w:val="1"/>
      <w:marLeft w:val="0"/>
      <w:marRight w:val="0"/>
      <w:marTop w:val="0"/>
      <w:marBottom w:val="0"/>
      <w:divBdr>
        <w:top w:val="none" w:sz="0" w:space="0" w:color="auto"/>
        <w:left w:val="none" w:sz="0" w:space="0" w:color="auto"/>
        <w:bottom w:val="none" w:sz="0" w:space="0" w:color="auto"/>
        <w:right w:val="none" w:sz="0" w:space="0" w:color="auto"/>
      </w:divBdr>
    </w:div>
    <w:div w:id="169414995">
      <w:bodyDiv w:val="1"/>
      <w:marLeft w:val="0"/>
      <w:marRight w:val="0"/>
      <w:marTop w:val="0"/>
      <w:marBottom w:val="0"/>
      <w:divBdr>
        <w:top w:val="none" w:sz="0" w:space="0" w:color="auto"/>
        <w:left w:val="none" w:sz="0" w:space="0" w:color="auto"/>
        <w:bottom w:val="none" w:sz="0" w:space="0" w:color="auto"/>
        <w:right w:val="none" w:sz="0" w:space="0" w:color="auto"/>
      </w:divBdr>
    </w:div>
    <w:div w:id="172719642">
      <w:bodyDiv w:val="1"/>
      <w:marLeft w:val="0"/>
      <w:marRight w:val="0"/>
      <w:marTop w:val="0"/>
      <w:marBottom w:val="0"/>
      <w:divBdr>
        <w:top w:val="none" w:sz="0" w:space="0" w:color="auto"/>
        <w:left w:val="none" w:sz="0" w:space="0" w:color="auto"/>
        <w:bottom w:val="none" w:sz="0" w:space="0" w:color="auto"/>
        <w:right w:val="none" w:sz="0" w:space="0" w:color="auto"/>
      </w:divBdr>
      <w:divsChild>
        <w:div w:id="2022538592">
          <w:marLeft w:val="0"/>
          <w:marRight w:val="0"/>
          <w:marTop w:val="0"/>
          <w:marBottom w:val="0"/>
          <w:divBdr>
            <w:top w:val="none" w:sz="0" w:space="0" w:color="auto"/>
            <w:left w:val="none" w:sz="0" w:space="0" w:color="auto"/>
            <w:bottom w:val="none" w:sz="0" w:space="0" w:color="auto"/>
            <w:right w:val="none" w:sz="0" w:space="0" w:color="auto"/>
          </w:divBdr>
          <w:divsChild>
            <w:div w:id="458257890">
              <w:marLeft w:val="0"/>
              <w:marRight w:val="0"/>
              <w:marTop w:val="0"/>
              <w:marBottom w:val="0"/>
              <w:divBdr>
                <w:top w:val="none" w:sz="0" w:space="0" w:color="auto"/>
                <w:left w:val="none" w:sz="0" w:space="0" w:color="auto"/>
                <w:bottom w:val="none" w:sz="0" w:space="0" w:color="auto"/>
                <w:right w:val="none" w:sz="0" w:space="0" w:color="auto"/>
              </w:divBdr>
              <w:divsChild>
                <w:div w:id="159489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78605">
      <w:bodyDiv w:val="1"/>
      <w:marLeft w:val="0"/>
      <w:marRight w:val="0"/>
      <w:marTop w:val="0"/>
      <w:marBottom w:val="0"/>
      <w:divBdr>
        <w:top w:val="none" w:sz="0" w:space="0" w:color="auto"/>
        <w:left w:val="none" w:sz="0" w:space="0" w:color="auto"/>
        <w:bottom w:val="none" w:sz="0" w:space="0" w:color="auto"/>
        <w:right w:val="none" w:sz="0" w:space="0" w:color="auto"/>
      </w:divBdr>
    </w:div>
    <w:div w:id="179200195">
      <w:bodyDiv w:val="1"/>
      <w:marLeft w:val="0"/>
      <w:marRight w:val="0"/>
      <w:marTop w:val="0"/>
      <w:marBottom w:val="0"/>
      <w:divBdr>
        <w:top w:val="none" w:sz="0" w:space="0" w:color="auto"/>
        <w:left w:val="none" w:sz="0" w:space="0" w:color="auto"/>
        <w:bottom w:val="none" w:sz="0" w:space="0" w:color="auto"/>
        <w:right w:val="none" w:sz="0" w:space="0" w:color="auto"/>
      </w:divBdr>
    </w:div>
    <w:div w:id="184029082">
      <w:bodyDiv w:val="1"/>
      <w:marLeft w:val="0"/>
      <w:marRight w:val="0"/>
      <w:marTop w:val="0"/>
      <w:marBottom w:val="0"/>
      <w:divBdr>
        <w:top w:val="none" w:sz="0" w:space="0" w:color="auto"/>
        <w:left w:val="none" w:sz="0" w:space="0" w:color="auto"/>
        <w:bottom w:val="none" w:sz="0" w:space="0" w:color="auto"/>
        <w:right w:val="none" w:sz="0" w:space="0" w:color="auto"/>
      </w:divBdr>
    </w:div>
    <w:div w:id="188958809">
      <w:bodyDiv w:val="1"/>
      <w:marLeft w:val="0"/>
      <w:marRight w:val="0"/>
      <w:marTop w:val="0"/>
      <w:marBottom w:val="0"/>
      <w:divBdr>
        <w:top w:val="none" w:sz="0" w:space="0" w:color="auto"/>
        <w:left w:val="none" w:sz="0" w:space="0" w:color="auto"/>
        <w:bottom w:val="none" w:sz="0" w:space="0" w:color="auto"/>
        <w:right w:val="none" w:sz="0" w:space="0" w:color="auto"/>
      </w:divBdr>
      <w:divsChild>
        <w:div w:id="259607187">
          <w:marLeft w:val="0"/>
          <w:marRight w:val="0"/>
          <w:marTop w:val="0"/>
          <w:marBottom w:val="0"/>
          <w:divBdr>
            <w:top w:val="none" w:sz="0" w:space="0" w:color="auto"/>
            <w:left w:val="none" w:sz="0" w:space="0" w:color="auto"/>
            <w:bottom w:val="none" w:sz="0" w:space="0" w:color="auto"/>
            <w:right w:val="none" w:sz="0" w:space="0" w:color="auto"/>
          </w:divBdr>
          <w:divsChild>
            <w:div w:id="759640458">
              <w:marLeft w:val="0"/>
              <w:marRight w:val="0"/>
              <w:marTop w:val="0"/>
              <w:marBottom w:val="0"/>
              <w:divBdr>
                <w:top w:val="none" w:sz="0" w:space="0" w:color="auto"/>
                <w:left w:val="none" w:sz="0" w:space="0" w:color="auto"/>
                <w:bottom w:val="none" w:sz="0" w:space="0" w:color="auto"/>
                <w:right w:val="none" w:sz="0" w:space="0" w:color="auto"/>
              </w:divBdr>
              <w:divsChild>
                <w:div w:id="122560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3356">
      <w:bodyDiv w:val="1"/>
      <w:marLeft w:val="0"/>
      <w:marRight w:val="0"/>
      <w:marTop w:val="0"/>
      <w:marBottom w:val="0"/>
      <w:divBdr>
        <w:top w:val="none" w:sz="0" w:space="0" w:color="auto"/>
        <w:left w:val="none" w:sz="0" w:space="0" w:color="auto"/>
        <w:bottom w:val="none" w:sz="0" w:space="0" w:color="auto"/>
        <w:right w:val="none" w:sz="0" w:space="0" w:color="auto"/>
      </w:divBdr>
    </w:div>
    <w:div w:id="190463303">
      <w:bodyDiv w:val="1"/>
      <w:marLeft w:val="0"/>
      <w:marRight w:val="0"/>
      <w:marTop w:val="0"/>
      <w:marBottom w:val="0"/>
      <w:divBdr>
        <w:top w:val="none" w:sz="0" w:space="0" w:color="auto"/>
        <w:left w:val="none" w:sz="0" w:space="0" w:color="auto"/>
        <w:bottom w:val="none" w:sz="0" w:space="0" w:color="auto"/>
        <w:right w:val="none" w:sz="0" w:space="0" w:color="auto"/>
      </w:divBdr>
    </w:div>
    <w:div w:id="190608836">
      <w:bodyDiv w:val="1"/>
      <w:marLeft w:val="0"/>
      <w:marRight w:val="0"/>
      <w:marTop w:val="0"/>
      <w:marBottom w:val="0"/>
      <w:divBdr>
        <w:top w:val="none" w:sz="0" w:space="0" w:color="auto"/>
        <w:left w:val="none" w:sz="0" w:space="0" w:color="auto"/>
        <w:bottom w:val="none" w:sz="0" w:space="0" w:color="auto"/>
        <w:right w:val="none" w:sz="0" w:space="0" w:color="auto"/>
      </w:divBdr>
    </w:div>
    <w:div w:id="194463905">
      <w:bodyDiv w:val="1"/>
      <w:marLeft w:val="0"/>
      <w:marRight w:val="0"/>
      <w:marTop w:val="0"/>
      <w:marBottom w:val="0"/>
      <w:divBdr>
        <w:top w:val="none" w:sz="0" w:space="0" w:color="auto"/>
        <w:left w:val="none" w:sz="0" w:space="0" w:color="auto"/>
        <w:bottom w:val="none" w:sz="0" w:space="0" w:color="auto"/>
        <w:right w:val="none" w:sz="0" w:space="0" w:color="auto"/>
      </w:divBdr>
    </w:div>
    <w:div w:id="200556103">
      <w:bodyDiv w:val="1"/>
      <w:marLeft w:val="0"/>
      <w:marRight w:val="0"/>
      <w:marTop w:val="0"/>
      <w:marBottom w:val="0"/>
      <w:divBdr>
        <w:top w:val="none" w:sz="0" w:space="0" w:color="auto"/>
        <w:left w:val="none" w:sz="0" w:space="0" w:color="auto"/>
        <w:bottom w:val="none" w:sz="0" w:space="0" w:color="auto"/>
        <w:right w:val="none" w:sz="0" w:space="0" w:color="auto"/>
      </w:divBdr>
    </w:div>
    <w:div w:id="203950186">
      <w:bodyDiv w:val="1"/>
      <w:marLeft w:val="0"/>
      <w:marRight w:val="0"/>
      <w:marTop w:val="0"/>
      <w:marBottom w:val="0"/>
      <w:divBdr>
        <w:top w:val="none" w:sz="0" w:space="0" w:color="auto"/>
        <w:left w:val="none" w:sz="0" w:space="0" w:color="auto"/>
        <w:bottom w:val="none" w:sz="0" w:space="0" w:color="auto"/>
        <w:right w:val="none" w:sz="0" w:space="0" w:color="auto"/>
      </w:divBdr>
      <w:divsChild>
        <w:div w:id="1114983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615551">
      <w:bodyDiv w:val="1"/>
      <w:marLeft w:val="0"/>
      <w:marRight w:val="0"/>
      <w:marTop w:val="0"/>
      <w:marBottom w:val="0"/>
      <w:divBdr>
        <w:top w:val="none" w:sz="0" w:space="0" w:color="auto"/>
        <w:left w:val="none" w:sz="0" w:space="0" w:color="auto"/>
        <w:bottom w:val="none" w:sz="0" w:space="0" w:color="auto"/>
        <w:right w:val="none" w:sz="0" w:space="0" w:color="auto"/>
      </w:divBdr>
    </w:div>
    <w:div w:id="209998397">
      <w:bodyDiv w:val="1"/>
      <w:marLeft w:val="0"/>
      <w:marRight w:val="0"/>
      <w:marTop w:val="0"/>
      <w:marBottom w:val="0"/>
      <w:divBdr>
        <w:top w:val="none" w:sz="0" w:space="0" w:color="auto"/>
        <w:left w:val="none" w:sz="0" w:space="0" w:color="auto"/>
        <w:bottom w:val="none" w:sz="0" w:space="0" w:color="auto"/>
        <w:right w:val="none" w:sz="0" w:space="0" w:color="auto"/>
      </w:divBdr>
    </w:div>
    <w:div w:id="216017817">
      <w:bodyDiv w:val="1"/>
      <w:marLeft w:val="0"/>
      <w:marRight w:val="0"/>
      <w:marTop w:val="0"/>
      <w:marBottom w:val="0"/>
      <w:divBdr>
        <w:top w:val="none" w:sz="0" w:space="0" w:color="auto"/>
        <w:left w:val="none" w:sz="0" w:space="0" w:color="auto"/>
        <w:bottom w:val="none" w:sz="0" w:space="0" w:color="auto"/>
        <w:right w:val="none" w:sz="0" w:space="0" w:color="auto"/>
      </w:divBdr>
    </w:div>
    <w:div w:id="222569734">
      <w:bodyDiv w:val="1"/>
      <w:marLeft w:val="0"/>
      <w:marRight w:val="0"/>
      <w:marTop w:val="0"/>
      <w:marBottom w:val="0"/>
      <w:divBdr>
        <w:top w:val="none" w:sz="0" w:space="0" w:color="auto"/>
        <w:left w:val="none" w:sz="0" w:space="0" w:color="auto"/>
        <w:bottom w:val="none" w:sz="0" w:space="0" w:color="auto"/>
        <w:right w:val="none" w:sz="0" w:space="0" w:color="auto"/>
      </w:divBdr>
    </w:div>
    <w:div w:id="225074724">
      <w:bodyDiv w:val="1"/>
      <w:marLeft w:val="0"/>
      <w:marRight w:val="0"/>
      <w:marTop w:val="0"/>
      <w:marBottom w:val="0"/>
      <w:divBdr>
        <w:top w:val="none" w:sz="0" w:space="0" w:color="auto"/>
        <w:left w:val="none" w:sz="0" w:space="0" w:color="auto"/>
        <w:bottom w:val="none" w:sz="0" w:space="0" w:color="auto"/>
        <w:right w:val="none" w:sz="0" w:space="0" w:color="auto"/>
      </w:divBdr>
    </w:div>
    <w:div w:id="225193346">
      <w:bodyDiv w:val="1"/>
      <w:marLeft w:val="0"/>
      <w:marRight w:val="0"/>
      <w:marTop w:val="0"/>
      <w:marBottom w:val="0"/>
      <w:divBdr>
        <w:top w:val="none" w:sz="0" w:space="0" w:color="auto"/>
        <w:left w:val="none" w:sz="0" w:space="0" w:color="auto"/>
        <w:bottom w:val="none" w:sz="0" w:space="0" w:color="auto"/>
        <w:right w:val="none" w:sz="0" w:space="0" w:color="auto"/>
      </w:divBdr>
    </w:div>
    <w:div w:id="230818014">
      <w:bodyDiv w:val="1"/>
      <w:marLeft w:val="0"/>
      <w:marRight w:val="0"/>
      <w:marTop w:val="0"/>
      <w:marBottom w:val="0"/>
      <w:divBdr>
        <w:top w:val="none" w:sz="0" w:space="0" w:color="auto"/>
        <w:left w:val="none" w:sz="0" w:space="0" w:color="auto"/>
        <w:bottom w:val="none" w:sz="0" w:space="0" w:color="auto"/>
        <w:right w:val="none" w:sz="0" w:space="0" w:color="auto"/>
      </w:divBdr>
    </w:div>
    <w:div w:id="233275094">
      <w:bodyDiv w:val="1"/>
      <w:marLeft w:val="0"/>
      <w:marRight w:val="0"/>
      <w:marTop w:val="0"/>
      <w:marBottom w:val="0"/>
      <w:divBdr>
        <w:top w:val="none" w:sz="0" w:space="0" w:color="auto"/>
        <w:left w:val="none" w:sz="0" w:space="0" w:color="auto"/>
        <w:bottom w:val="none" w:sz="0" w:space="0" w:color="auto"/>
        <w:right w:val="none" w:sz="0" w:space="0" w:color="auto"/>
      </w:divBdr>
    </w:div>
    <w:div w:id="236399058">
      <w:bodyDiv w:val="1"/>
      <w:marLeft w:val="0"/>
      <w:marRight w:val="0"/>
      <w:marTop w:val="0"/>
      <w:marBottom w:val="0"/>
      <w:divBdr>
        <w:top w:val="none" w:sz="0" w:space="0" w:color="auto"/>
        <w:left w:val="none" w:sz="0" w:space="0" w:color="auto"/>
        <w:bottom w:val="none" w:sz="0" w:space="0" w:color="auto"/>
        <w:right w:val="none" w:sz="0" w:space="0" w:color="auto"/>
      </w:divBdr>
    </w:div>
    <w:div w:id="242956990">
      <w:bodyDiv w:val="1"/>
      <w:marLeft w:val="0"/>
      <w:marRight w:val="0"/>
      <w:marTop w:val="0"/>
      <w:marBottom w:val="0"/>
      <w:divBdr>
        <w:top w:val="none" w:sz="0" w:space="0" w:color="auto"/>
        <w:left w:val="none" w:sz="0" w:space="0" w:color="auto"/>
        <w:bottom w:val="none" w:sz="0" w:space="0" w:color="auto"/>
        <w:right w:val="none" w:sz="0" w:space="0" w:color="auto"/>
      </w:divBdr>
      <w:divsChild>
        <w:div w:id="2125421531">
          <w:marLeft w:val="0"/>
          <w:marRight w:val="0"/>
          <w:marTop w:val="0"/>
          <w:marBottom w:val="0"/>
          <w:divBdr>
            <w:top w:val="single" w:sz="2" w:space="0" w:color="auto"/>
            <w:left w:val="single" w:sz="2" w:space="0" w:color="auto"/>
            <w:bottom w:val="single" w:sz="2" w:space="0" w:color="auto"/>
            <w:right w:val="single" w:sz="2" w:space="0" w:color="auto"/>
          </w:divBdr>
          <w:divsChild>
            <w:div w:id="1997371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50553544">
      <w:bodyDiv w:val="1"/>
      <w:marLeft w:val="0"/>
      <w:marRight w:val="0"/>
      <w:marTop w:val="0"/>
      <w:marBottom w:val="0"/>
      <w:divBdr>
        <w:top w:val="none" w:sz="0" w:space="0" w:color="auto"/>
        <w:left w:val="none" w:sz="0" w:space="0" w:color="auto"/>
        <w:bottom w:val="none" w:sz="0" w:space="0" w:color="auto"/>
        <w:right w:val="none" w:sz="0" w:space="0" w:color="auto"/>
      </w:divBdr>
    </w:div>
    <w:div w:id="253056924">
      <w:bodyDiv w:val="1"/>
      <w:marLeft w:val="0"/>
      <w:marRight w:val="0"/>
      <w:marTop w:val="0"/>
      <w:marBottom w:val="0"/>
      <w:divBdr>
        <w:top w:val="none" w:sz="0" w:space="0" w:color="auto"/>
        <w:left w:val="none" w:sz="0" w:space="0" w:color="auto"/>
        <w:bottom w:val="none" w:sz="0" w:space="0" w:color="auto"/>
        <w:right w:val="none" w:sz="0" w:space="0" w:color="auto"/>
      </w:divBdr>
    </w:div>
    <w:div w:id="258372276">
      <w:bodyDiv w:val="1"/>
      <w:marLeft w:val="0"/>
      <w:marRight w:val="0"/>
      <w:marTop w:val="0"/>
      <w:marBottom w:val="0"/>
      <w:divBdr>
        <w:top w:val="none" w:sz="0" w:space="0" w:color="auto"/>
        <w:left w:val="none" w:sz="0" w:space="0" w:color="auto"/>
        <w:bottom w:val="none" w:sz="0" w:space="0" w:color="auto"/>
        <w:right w:val="none" w:sz="0" w:space="0" w:color="auto"/>
      </w:divBdr>
    </w:div>
    <w:div w:id="259023791">
      <w:bodyDiv w:val="1"/>
      <w:marLeft w:val="0"/>
      <w:marRight w:val="0"/>
      <w:marTop w:val="0"/>
      <w:marBottom w:val="0"/>
      <w:divBdr>
        <w:top w:val="none" w:sz="0" w:space="0" w:color="auto"/>
        <w:left w:val="none" w:sz="0" w:space="0" w:color="auto"/>
        <w:bottom w:val="none" w:sz="0" w:space="0" w:color="auto"/>
        <w:right w:val="none" w:sz="0" w:space="0" w:color="auto"/>
      </w:divBdr>
    </w:div>
    <w:div w:id="262691701">
      <w:bodyDiv w:val="1"/>
      <w:marLeft w:val="0"/>
      <w:marRight w:val="0"/>
      <w:marTop w:val="0"/>
      <w:marBottom w:val="0"/>
      <w:divBdr>
        <w:top w:val="none" w:sz="0" w:space="0" w:color="auto"/>
        <w:left w:val="none" w:sz="0" w:space="0" w:color="auto"/>
        <w:bottom w:val="none" w:sz="0" w:space="0" w:color="auto"/>
        <w:right w:val="none" w:sz="0" w:space="0" w:color="auto"/>
      </w:divBdr>
    </w:div>
    <w:div w:id="264194141">
      <w:bodyDiv w:val="1"/>
      <w:marLeft w:val="0"/>
      <w:marRight w:val="0"/>
      <w:marTop w:val="0"/>
      <w:marBottom w:val="0"/>
      <w:divBdr>
        <w:top w:val="none" w:sz="0" w:space="0" w:color="auto"/>
        <w:left w:val="none" w:sz="0" w:space="0" w:color="auto"/>
        <w:bottom w:val="none" w:sz="0" w:space="0" w:color="auto"/>
        <w:right w:val="none" w:sz="0" w:space="0" w:color="auto"/>
      </w:divBdr>
    </w:div>
    <w:div w:id="266810720">
      <w:bodyDiv w:val="1"/>
      <w:marLeft w:val="0"/>
      <w:marRight w:val="0"/>
      <w:marTop w:val="0"/>
      <w:marBottom w:val="0"/>
      <w:divBdr>
        <w:top w:val="none" w:sz="0" w:space="0" w:color="auto"/>
        <w:left w:val="none" w:sz="0" w:space="0" w:color="auto"/>
        <w:bottom w:val="none" w:sz="0" w:space="0" w:color="auto"/>
        <w:right w:val="none" w:sz="0" w:space="0" w:color="auto"/>
      </w:divBdr>
    </w:div>
    <w:div w:id="273681358">
      <w:bodyDiv w:val="1"/>
      <w:marLeft w:val="0"/>
      <w:marRight w:val="0"/>
      <w:marTop w:val="0"/>
      <w:marBottom w:val="0"/>
      <w:divBdr>
        <w:top w:val="none" w:sz="0" w:space="0" w:color="auto"/>
        <w:left w:val="none" w:sz="0" w:space="0" w:color="auto"/>
        <w:bottom w:val="none" w:sz="0" w:space="0" w:color="auto"/>
        <w:right w:val="none" w:sz="0" w:space="0" w:color="auto"/>
      </w:divBdr>
      <w:divsChild>
        <w:div w:id="185580548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74800211">
      <w:bodyDiv w:val="1"/>
      <w:marLeft w:val="0"/>
      <w:marRight w:val="0"/>
      <w:marTop w:val="0"/>
      <w:marBottom w:val="0"/>
      <w:divBdr>
        <w:top w:val="none" w:sz="0" w:space="0" w:color="auto"/>
        <w:left w:val="none" w:sz="0" w:space="0" w:color="auto"/>
        <w:bottom w:val="none" w:sz="0" w:space="0" w:color="auto"/>
        <w:right w:val="none" w:sz="0" w:space="0" w:color="auto"/>
      </w:divBdr>
    </w:div>
    <w:div w:id="280109403">
      <w:bodyDiv w:val="1"/>
      <w:marLeft w:val="0"/>
      <w:marRight w:val="0"/>
      <w:marTop w:val="0"/>
      <w:marBottom w:val="0"/>
      <w:divBdr>
        <w:top w:val="none" w:sz="0" w:space="0" w:color="auto"/>
        <w:left w:val="none" w:sz="0" w:space="0" w:color="auto"/>
        <w:bottom w:val="none" w:sz="0" w:space="0" w:color="auto"/>
        <w:right w:val="none" w:sz="0" w:space="0" w:color="auto"/>
      </w:divBdr>
      <w:divsChild>
        <w:div w:id="2042244073">
          <w:marLeft w:val="0"/>
          <w:marRight w:val="0"/>
          <w:marTop w:val="0"/>
          <w:marBottom w:val="0"/>
          <w:divBdr>
            <w:top w:val="none" w:sz="0" w:space="0" w:color="auto"/>
            <w:left w:val="none" w:sz="0" w:space="0" w:color="auto"/>
            <w:bottom w:val="none" w:sz="0" w:space="0" w:color="auto"/>
            <w:right w:val="none" w:sz="0" w:space="0" w:color="auto"/>
          </w:divBdr>
          <w:divsChild>
            <w:div w:id="799418080">
              <w:marLeft w:val="0"/>
              <w:marRight w:val="0"/>
              <w:marTop w:val="0"/>
              <w:marBottom w:val="0"/>
              <w:divBdr>
                <w:top w:val="none" w:sz="0" w:space="0" w:color="auto"/>
                <w:left w:val="none" w:sz="0" w:space="0" w:color="auto"/>
                <w:bottom w:val="none" w:sz="0" w:space="0" w:color="auto"/>
                <w:right w:val="none" w:sz="0" w:space="0" w:color="auto"/>
              </w:divBdr>
              <w:divsChild>
                <w:div w:id="6066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4543">
      <w:bodyDiv w:val="1"/>
      <w:marLeft w:val="0"/>
      <w:marRight w:val="0"/>
      <w:marTop w:val="0"/>
      <w:marBottom w:val="0"/>
      <w:divBdr>
        <w:top w:val="none" w:sz="0" w:space="0" w:color="auto"/>
        <w:left w:val="none" w:sz="0" w:space="0" w:color="auto"/>
        <w:bottom w:val="none" w:sz="0" w:space="0" w:color="auto"/>
        <w:right w:val="none" w:sz="0" w:space="0" w:color="auto"/>
      </w:divBdr>
    </w:div>
    <w:div w:id="285504545">
      <w:bodyDiv w:val="1"/>
      <w:marLeft w:val="0"/>
      <w:marRight w:val="0"/>
      <w:marTop w:val="0"/>
      <w:marBottom w:val="0"/>
      <w:divBdr>
        <w:top w:val="none" w:sz="0" w:space="0" w:color="auto"/>
        <w:left w:val="none" w:sz="0" w:space="0" w:color="auto"/>
        <w:bottom w:val="none" w:sz="0" w:space="0" w:color="auto"/>
        <w:right w:val="none" w:sz="0" w:space="0" w:color="auto"/>
      </w:divBdr>
    </w:div>
    <w:div w:id="290593846">
      <w:bodyDiv w:val="1"/>
      <w:marLeft w:val="0"/>
      <w:marRight w:val="0"/>
      <w:marTop w:val="0"/>
      <w:marBottom w:val="0"/>
      <w:divBdr>
        <w:top w:val="none" w:sz="0" w:space="0" w:color="auto"/>
        <w:left w:val="none" w:sz="0" w:space="0" w:color="auto"/>
        <w:bottom w:val="none" w:sz="0" w:space="0" w:color="auto"/>
        <w:right w:val="none" w:sz="0" w:space="0" w:color="auto"/>
      </w:divBdr>
    </w:div>
    <w:div w:id="294023244">
      <w:bodyDiv w:val="1"/>
      <w:marLeft w:val="0"/>
      <w:marRight w:val="0"/>
      <w:marTop w:val="0"/>
      <w:marBottom w:val="0"/>
      <w:divBdr>
        <w:top w:val="none" w:sz="0" w:space="0" w:color="auto"/>
        <w:left w:val="none" w:sz="0" w:space="0" w:color="auto"/>
        <w:bottom w:val="none" w:sz="0" w:space="0" w:color="auto"/>
        <w:right w:val="none" w:sz="0" w:space="0" w:color="auto"/>
      </w:divBdr>
      <w:divsChild>
        <w:div w:id="1341002377">
          <w:marLeft w:val="0"/>
          <w:marRight w:val="0"/>
          <w:marTop w:val="0"/>
          <w:marBottom w:val="0"/>
          <w:divBdr>
            <w:top w:val="none" w:sz="0" w:space="0" w:color="auto"/>
            <w:left w:val="none" w:sz="0" w:space="0" w:color="auto"/>
            <w:bottom w:val="none" w:sz="0" w:space="0" w:color="auto"/>
            <w:right w:val="none" w:sz="0" w:space="0" w:color="auto"/>
          </w:divBdr>
          <w:divsChild>
            <w:div w:id="580876425">
              <w:marLeft w:val="0"/>
              <w:marRight w:val="0"/>
              <w:marTop w:val="0"/>
              <w:marBottom w:val="0"/>
              <w:divBdr>
                <w:top w:val="none" w:sz="0" w:space="0" w:color="auto"/>
                <w:left w:val="none" w:sz="0" w:space="0" w:color="auto"/>
                <w:bottom w:val="none" w:sz="0" w:space="0" w:color="auto"/>
                <w:right w:val="none" w:sz="0" w:space="0" w:color="auto"/>
              </w:divBdr>
              <w:divsChild>
                <w:div w:id="17844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229049">
      <w:bodyDiv w:val="1"/>
      <w:marLeft w:val="0"/>
      <w:marRight w:val="0"/>
      <w:marTop w:val="0"/>
      <w:marBottom w:val="0"/>
      <w:divBdr>
        <w:top w:val="none" w:sz="0" w:space="0" w:color="auto"/>
        <w:left w:val="none" w:sz="0" w:space="0" w:color="auto"/>
        <w:bottom w:val="none" w:sz="0" w:space="0" w:color="auto"/>
        <w:right w:val="none" w:sz="0" w:space="0" w:color="auto"/>
      </w:divBdr>
    </w:div>
    <w:div w:id="297801177">
      <w:bodyDiv w:val="1"/>
      <w:marLeft w:val="0"/>
      <w:marRight w:val="0"/>
      <w:marTop w:val="0"/>
      <w:marBottom w:val="0"/>
      <w:divBdr>
        <w:top w:val="none" w:sz="0" w:space="0" w:color="auto"/>
        <w:left w:val="none" w:sz="0" w:space="0" w:color="auto"/>
        <w:bottom w:val="none" w:sz="0" w:space="0" w:color="auto"/>
        <w:right w:val="none" w:sz="0" w:space="0" w:color="auto"/>
      </w:divBdr>
      <w:divsChild>
        <w:div w:id="774639280">
          <w:marLeft w:val="0"/>
          <w:marRight w:val="0"/>
          <w:marTop w:val="0"/>
          <w:marBottom w:val="0"/>
          <w:divBdr>
            <w:top w:val="none" w:sz="0" w:space="0" w:color="auto"/>
            <w:left w:val="none" w:sz="0" w:space="0" w:color="auto"/>
            <w:bottom w:val="none" w:sz="0" w:space="0" w:color="auto"/>
            <w:right w:val="none" w:sz="0" w:space="0" w:color="auto"/>
          </w:divBdr>
          <w:divsChild>
            <w:div w:id="89577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8313">
      <w:bodyDiv w:val="1"/>
      <w:marLeft w:val="0"/>
      <w:marRight w:val="0"/>
      <w:marTop w:val="0"/>
      <w:marBottom w:val="0"/>
      <w:divBdr>
        <w:top w:val="none" w:sz="0" w:space="0" w:color="auto"/>
        <w:left w:val="none" w:sz="0" w:space="0" w:color="auto"/>
        <w:bottom w:val="none" w:sz="0" w:space="0" w:color="auto"/>
        <w:right w:val="none" w:sz="0" w:space="0" w:color="auto"/>
      </w:divBdr>
    </w:div>
    <w:div w:id="299072657">
      <w:bodyDiv w:val="1"/>
      <w:marLeft w:val="0"/>
      <w:marRight w:val="0"/>
      <w:marTop w:val="0"/>
      <w:marBottom w:val="0"/>
      <w:divBdr>
        <w:top w:val="none" w:sz="0" w:space="0" w:color="auto"/>
        <w:left w:val="none" w:sz="0" w:space="0" w:color="auto"/>
        <w:bottom w:val="none" w:sz="0" w:space="0" w:color="auto"/>
        <w:right w:val="none" w:sz="0" w:space="0" w:color="auto"/>
      </w:divBdr>
    </w:div>
    <w:div w:id="301233875">
      <w:bodyDiv w:val="1"/>
      <w:marLeft w:val="0"/>
      <w:marRight w:val="0"/>
      <w:marTop w:val="0"/>
      <w:marBottom w:val="0"/>
      <w:divBdr>
        <w:top w:val="none" w:sz="0" w:space="0" w:color="auto"/>
        <w:left w:val="none" w:sz="0" w:space="0" w:color="auto"/>
        <w:bottom w:val="none" w:sz="0" w:space="0" w:color="auto"/>
        <w:right w:val="none" w:sz="0" w:space="0" w:color="auto"/>
      </w:divBdr>
    </w:div>
    <w:div w:id="302776352">
      <w:bodyDiv w:val="1"/>
      <w:marLeft w:val="0"/>
      <w:marRight w:val="0"/>
      <w:marTop w:val="0"/>
      <w:marBottom w:val="0"/>
      <w:divBdr>
        <w:top w:val="none" w:sz="0" w:space="0" w:color="auto"/>
        <w:left w:val="none" w:sz="0" w:space="0" w:color="auto"/>
        <w:bottom w:val="none" w:sz="0" w:space="0" w:color="auto"/>
        <w:right w:val="none" w:sz="0" w:space="0" w:color="auto"/>
      </w:divBdr>
    </w:div>
    <w:div w:id="304042819">
      <w:bodyDiv w:val="1"/>
      <w:marLeft w:val="0"/>
      <w:marRight w:val="0"/>
      <w:marTop w:val="0"/>
      <w:marBottom w:val="0"/>
      <w:divBdr>
        <w:top w:val="none" w:sz="0" w:space="0" w:color="auto"/>
        <w:left w:val="none" w:sz="0" w:space="0" w:color="auto"/>
        <w:bottom w:val="none" w:sz="0" w:space="0" w:color="auto"/>
        <w:right w:val="none" w:sz="0" w:space="0" w:color="auto"/>
      </w:divBdr>
    </w:div>
    <w:div w:id="307781110">
      <w:bodyDiv w:val="1"/>
      <w:marLeft w:val="0"/>
      <w:marRight w:val="0"/>
      <w:marTop w:val="0"/>
      <w:marBottom w:val="0"/>
      <w:divBdr>
        <w:top w:val="none" w:sz="0" w:space="0" w:color="auto"/>
        <w:left w:val="none" w:sz="0" w:space="0" w:color="auto"/>
        <w:bottom w:val="none" w:sz="0" w:space="0" w:color="auto"/>
        <w:right w:val="none" w:sz="0" w:space="0" w:color="auto"/>
      </w:divBdr>
      <w:divsChild>
        <w:div w:id="1704089733">
          <w:marLeft w:val="0"/>
          <w:marRight w:val="0"/>
          <w:marTop w:val="0"/>
          <w:marBottom w:val="0"/>
          <w:divBdr>
            <w:top w:val="none" w:sz="0" w:space="0" w:color="auto"/>
            <w:left w:val="none" w:sz="0" w:space="0" w:color="auto"/>
            <w:bottom w:val="none" w:sz="0" w:space="0" w:color="auto"/>
            <w:right w:val="none" w:sz="0" w:space="0" w:color="auto"/>
          </w:divBdr>
          <w:divsChild>
            <w:div w:id="378633938">
              <w:marLeft w:val="0"/>
              <w:marRight w:val="0"/>
              <w:marTop w:val="0"/>
              <w:marBottom w:val="0"/>
              <w:divBdr>
                <w:top w:val="none" w:sz="0" w:space="0" w:color="auto"/>
                <w:left w:val="none" w:sz="0" w:space="0" w:color="auto"/>
                <w:bottom w:val="none" w:sz="0" w:space="0" w:color="auto"/>
                <w:right w:val="none" w:sz="0" w:space="0" w:color="auto"/>
              </w:divBdr>
              <w:divsChild>
                <w:div w:id="17440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78562">
      <w:bodyDiv w:val="1"/>
      <w:marLeft w:val="0"/>
      <w:marRight w:val="0"/>
      <w:marTop w:val="0"/>
      <w:marBottom w:val="0"/>
      <w:divBdr>
        <w:top w:val="none" w:sz="0" w:space="0" w:color="auto"/>
        <w:left w:val="none" w:sz="0" w:space="0" w:color="auto"/>
        <w:bottom w:val="none" w:sz="0" w:space="0" w:color="auto"/>
        <w:right w:val="none" w:sz="0" w:space="0" w:color="auto"/>
      </w:divBdr>
    </w:div>
    <w:div w:id="312829330">
      <w:bodyDiv w:val="1"/>
      <w:marLeft w:val="0"/>
      <w:marRight w:val="0"/>
      <w:marTop w:val="0"/>
      <w:marBottom w:val="0"/>
      <w:divBdr>
        <w:top w:val="none" w:sz="0" w:space="0" w:color="auto"/>
        <w:left w:val="none" w:sz="0" w:space="0" w:color="auto"/>
        <w:bottom w:val="none" w:sz="0" w:space="0" w:color="auto"/>
        <w:right w:val="none" w:sz="0" w:space="0" w:color="auto"/>
      </w:divBdr>
    </w:div>
    <w:div w:id="314531783">
      <w:bodyDiv w:val="1"/>
      <w:marLeft w:val="0"/>
      <w:marRight w:val="0"/>
      <w:marTop w:val="0"/>
      <w:marBottom w:val="0"/>
      <w:divBdr>
        <w:top w:val="none" w:sz="0" w:space="0" w:color="auto"/>
        <w:left w:val="none" w:sz="0" w:space="0" w:color="auto"/>
        <w:bottom w:val="none" w:sz="0" w:space="0" w:color="auto"/>
        <w:right w:val="none" w:sz="0" w:space="0" w:color="auto"/>
      </w:divBdr>
    </w:div>
    <w:div w:id="315573572">
      <w:bodyDiv w:val="1"/>
      <w:marLeft w:val="0"/>
      <w:marRight w:val="0"/>
      <w:marTop w:val="0"/>
      <w:marBottom w:val="0"/>
      <w:divBdr>
        <w:top w:val="none" w:sz="0" w:space="0" w:color="auto"/>
        <w:left w:val="none" w:sz="0" w:space="0" w:color="auto"/>
        <w:bottom w:val="none" w:sz="0" w:space="0" w:color="auto"/>
        <w:right w:val="none" w:sz="0" w:space="0" w:color="auto"/>
      </w:divBdr>
    </w:div>
    <w:div w:id="315958488">
      <w:bodyDiv w:val="1"/>
      <w:marLeft w:val="0"/>
      <w:marRight w:val="0"/>
      <w:marTop w:val="0"/>
      <w:marBottom w:val="0"/>
      <w:divBdr>
        <w:top w:val="none" w:sz="0" w:space="0" w:color="auto"/>
        <w:left w:val="none" w:sz="0" w:space="0" w:color="auto"/>
        <w:bottom w:val="none" w:sz="0" w:space="0" w:color="auto"/>
        <w:right w:val="none" w:sz="0" w:space="0" w:color="auto"/>
      </w:divBdr>
      <w:divsChild>
        <w:div w:id="353773688">
          <w:marLeft w:val="0"/>
          <w:marRight w:val="0"/>
          <w:marTop w:val="0"/>
          <w:marBottom w:val="0"/>
          <w:divBdr>
            <w:top w:val="none" w:sz="0" w:space="0" w:color="auto"/>
            <w:left w:val="none" w:sz="0" w:space="0" w:color="auto"/>
            <w:bottom w:val="none" w:sz="0" w:space="0" w:color="auto"/>
            <w:right w:val="none" w:sz="0" w:space="0" w:color="auto"/>
          </w:divBdr>
        </w:div>
      </w:divsChild>
    </w:div>
    <w:div w:id="319120793">
      <w:bodyDiv w:val="1"/>
      <w:marLeft w:val="0"/>
      <w:marRight w:val="0"/>
      <w:marTop w:val="0"/>
      <w:marBottom w:val="0"/>
      <w:divBdr>
        <w:top w:val="none" w:sz="0" w:space="0" w:color="auto"/>
        <w:left w:val="none" w:sz="0" w:space="0" w:color="auto"/>
        <w:bottom w:val="none" w:sz="0" w:space="0" w:color="auto"/>
        <w:right w:val="none" w:sz="0" w:space="0" w:color="auto"/>
      </w:divBdr>
    </w:div>
    <w:div w:id="325012979">
      <w:bodyDiv w:val="1"/>
      <w:marLeft w:val="0"/>
      <w:marRight w:val="0"/>
      <w:marTop w:val="0"/>
      <w:marBottom w:val="0"/>
      <w:divBdr>
        <w:top w:val="none" w:sz="0" w:space="0" w:color="auto"/>
        <w:left w:val="none" w:sz="0" w:space="0" w:color="auto"/>
        <w:bottom w:val="none" w:sz="0" w:space="0" w:color="auto"/>
        <w:right w:val="none" w:sz="0" w:space="0" w:color="auto"/>
      </w:divBdr>
    </w:div>
    <w:div w:id="325479517">
      <w:bodyDiv w:val="1"/>
      <w:marLeft w:val="0"/>
      <w:marRight w:val="0"/>
      <w:marTop w:val="0"/>
      <w:marBottom w:val="0"/>
      <w:divBdr>
        <w:top w:val="none" w:sz="0" w:space="0" w:color="auto"/>
        <w:left w:val="none" w:sz="0" w:space="0" w:color="auto"/>
        <w:bottom w:val="none" w:sz="0" w:space="0" w:color="auto"/>
        <w:right w:val="none" w:sz="0" w:space="0" w:color="auto"/>
      </w:divBdr>
    </w:div>
    <w:div w:id="326062155">
      <w:bodyDiv w:val="1"/>
      <w:marLeft w:val="0"/>
      <w:marRight w:val="0"/>
      <w:marTop w:val="0"/>
      <w:marBottom w:val="0"/>
      <w:divBdr>
        <w:top w:val="none" w:sz="0" w:space="0" w:color="auto"/>
        <w:left w:val="none" w:sz="0" w:space="0" w:color="auto"/>
        <w:bottom w:val="none" w:sz="0" w:space="0" w:color="auto"/>
        <w:right w:val="none" w:sz="0" w:space="0" w:color="auto"/>
      </w:divBdr>
    </w:div>
    <w:div w:id="330764171">
      <w:bodyDiv w:val="1"/>
      <w:marLeft w:val="0"/>
      <w:marRight w:val="0"/>
      <w:marTop w:val="0"/>
      <w:marBottom w:val="0"/>
      <w:divBdr>
        <w:top w:val="none" w:sz="0" w:space="0" w:color="auto"/>
        <w:left w:val="none" w:sz="0" w:space="0" w:color="auto"/>
        <w:bottom w:val="none" w:sz="0" w:space="0" w:color="auto"/>
        <w:right w:val="none" w:sz="0" w:space="0" w:color="auto"/>
      </w:divBdr>
    </w:div>
    <w:div w:id="338167544">
      <w:bodyDiv w:val="1"/>
      <w:marLeft w:val="0"/>
      <w:marRight w:val="0"/>
      <w:marTop w:val="0"/>
      <w:marBottom w:val="0"/>
      <w:divBdr>
        <w:top w:val="none" w:sz="0" w:space="0" w:color="auto"/>
        <w:left w:val="none" w:sz="0" w:space="0" w:color="auto"/>
        <w:bottom w:val="none" w:sz="0" w:space="0" w:color="auto"/>
        <w:right w:val="none" w:sz="0" w:space="0" w:color="auto"/>
      </w:divBdr>
      <w:divsChild>
        <w:div w:id="1852990107">
          <w:marLeft w:val="0"/>
          <w:marRight w:val="0"/>
          <w:marTop w:val="0"/>
          <w:marBottom w:val="0"/>
          <w:divBdr>
            <w:top w:val="none" w:sz="0" w:space="0" w:color="auto"/>
            <w:left w:val="none" w:sz="0" w:space="0" w:color="auto"/>
            <w:bottom w:val="none" w:sz="0" w:space="0" w:color="auto"/>
            <w:right w:val="none" w:sz="0" w:space="0" w:color="auto"/>
          </w:divBdr>
        </w:div>
        <w:div w:id="204216065">
          <w:marLeft w:val="0"/>
          <w:marRight w:val="0"/>
          <w:marTop w:val="0"/>
          <w:marBottom w:val="0"/>
          <w:divBdr>
            <w:top w:val="none" w:sz="0" w:space="0" w:color="auto"/>
            <w:left w:val="none" w:sz="0" w:space="0" w:color="auto"/>
            <w:bottom w:val="none" w:sz="0" w:space="0" w:color="auto"/>
            <w:right w:val="none" w:sz="0" w:space="0" w:color="auto"/>
          </w:divBdr>
          <w:divsChild>
            <w:div w:id="155920320">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339504817">
      <w:bodyDiv w:val="1"/>
      <w:marLeft w:val="0"/>
      <w:marRight w:val="0"/>
      <w:marTop w:val="0"/>
      <w:marBottom w:val="0"/>
      <w:divBdr>
        <w:top w:val="none" w:sz="0" w:space="0" w:color="auto"/>
        <w:left w:val="none" w:sz="0" w:space="0" w:color="auto"/>
        <w:bottom w:val="none" w:sz="0" w:space="0" w:color="auto"/>
        <w:right w:val="none" w:sz="0" w:space="0" w:color="auto"/>
      </w:divBdr>
    </w:div>
    <w:div w:id="346445420">
      <w:bodyDiv w:val="1"/>
      <w:marLeft w:val="0"/>
      <w:marRight w:val="0"/>
      <w:marTop w:val="0"/>
      <w:marBottom w:val="0"/>
      <w:divBdr>
        <w:top w:val="none" w:sz="0" w:space="0" w:color="auto"/>
        <w:left w:val="none" w:sz="0" w:space="0" w:color="auto"/>
        <w:bottom w:val="none" w:sz="0" w:space="0" w:color="auto"/>
        <w:right w:val="none" w:sz="0" w:space="0" w:color="auto"/>
      </w:divBdr>
    </w:div>
    <w:div w:id="352535084">
      <w:bodyDiv w:val="1"/>
      <w:marLeft w:val="0"/>
      <w:marRight w:val="0"/>
      <w:marTop w:val="0"/>
      <w:marBottom w:val="0"/>
      <w:divBdr>
        <w:top w:val="none" w:sz="0" w:space="0" w:color="auto"/>
        <w:left w:val="none" w:sz="0" w:space="0" w:color="auto"/>
        <w:bottom w:val="none" w:sz="0" w:space="0" w:color="auto"/>
        <w:right w:val="none" w:sz="0" w:space="0" w:color="auto"/>
      </w:divBdr>
    </w:div>
    <w:div w:id="353112784">
      <w:bodyDiv w:val="1"/>
      <w:marLeft w:val="0"/>
      <w:marRight w:val="0"/>
      <w:marTop w:val="0"/>
      <w:marBottom w:val="0"/>
      <w:divBdr>
        <w:top w:val="none" w:sz="0" w:space="0" w:color="auto"/>
        <w:left w:val="none" w:sz="0" w:space="0" w:color="auto"/>
        <w:bottom w:val="none" w:sz="0" w:space="0" w:color="auto"/>
        <w:right w:val="none" w:sz="0" w:space="0" w:color="auto"/>
      </w:divBdr>
    </w:div>
    <w:div w:id="353270028">
      <w:bodyDiv w:val="1"/>
      <w:marLeft w:val="0"/>
      <w:marRight w:val="0"/>
      <w:marTop w:val="0"/>
      <w:marBottom w:val="0"/>
      <w:divBdr>
        <w:top w:val="none" w:sz="0" w:space="0" w:color="auto"/>
        <w:left w:val="none" w:sz="0" w:space="0" w:color="auto"/>
        <w:bottom w:val="none" w:sz="0" w:space="0" w:color="auto"/>
        <w:right w:val="none" w:sz="0" w:space="0" w:color="auto"/>
      </w:divBdr>
    </w:div>
    <w:div w:id="355153708">
      <w:bodyDiv w:val="1"/>
      <w:marLeft w:val="0"/>
      <w:marRight w:val="0"/>
      <w:marTop w:val="0"/>
      <w:marBottom w:val="0"/>
      <w:divBdr>
        <w:top w:val="none" w:sz="0" w:space="0" w:color="auto"/>
        <w:left w:val="none" w:sz="0" w:space="0" w:color="auto"/>
        <w:bottom w:val="none" w:sz="0" w:space="0" w:color="auto"/>
        <w:right w:val="none" w:sz="0" w:space="0" w:color="auto"/>
      </w:divBdr>
    </w:div>
    <w:div w:id="357001264">
      <w:bodyDiv w:val="1"/>
      <w:marLeft w:val="0"/>
      <w:marRight w:val="0"/>
      <w:marTop w:val="0"/>
      <w:marBottom w:val="0"/>
      <w:divBdr>
        <w:top w:val="none" w:sz="0" w:space="0" w:color="auto"/>
        <w:left w:val="none" w:sz="0" w:space="0" w:color="auto"/>
        <w:bottom w:val="none" w:sz="0" w:space="0" w:color="auto"/>
        <w:right w:val="none" w:sz="0" w:space="0" w:color="auto"/>
      </w:divBdr>
    </w:div>
    <w:div w:id="366149672">
      <w:bodyDiv w:val="1"/>
      <w:marLeft w:val="0"/>
      <w:marRight w:val="0"/>
      <w:marTop w:val="0"/>
      <w:marBottom w:val="0"/>
      <w:divBdr>
        <w:top w:val="none" w:sz="0" w:space="0" w:color="auto"/>
        <w:left w:val="none" w:sz="0" w:space="0" w:color="auto"/>
        <w:bottom w:val="none" w:sz="0" w:space="0" w:color="auto"/>
        <w:right w:val="none" w:sz="0" w:space="0" w:color="auto"/>
      </w:divBdr>
    </w:div>
    <w:div w:id="367072842">
      <w:bodyDiv w:val="1"/>
      <w:marLeft w:val="0"/>
      <w:marRight w:val="0"/>
      <w:marTop w:val="0"/>
      <w:marBottom w:val="0"/>
      <w:divBdr>
        <w:top w:val="none" w:sz="0" w:space="0" w:color="auto"/>
        <w:left w:val="none" w:sz="0" w:space="0" w:color="auto"/>
        <w:bottom w:val="none" w:sz="0" w:space="0" w:color="auto"/>
        <w:right w:val="none" w:sz="0" w:space="0" w:color="auto"/>
      </w:divBdr>
    </w:div>
    <w:div w:id="376666549">
      <w:bodyDiv w:val="1"/>
      <w:marLeft w:val="0"/>
      <w:marRight w:val="0"/>
      <w:marTop w:val="0"/>
      <w:marBottom w:val="0"/>
      <w:divBdr>
        <w:top w:val="none" w:sz="0" w:space="0" w:color="auto"/>
        <w:left w:val="none" w:sz="0" w:space="0" w:color="auto"/>
        <w:bottom w:val="none" w:sz="0" w:space="0" w:color="auto"/>
        <w:right w:val="none" w:sz="0" w:space="0" w:color="auto"/>
      </w:divBdr>
      <w:divsChild>
        <w:div w:id="1587181583">
          <w:marLeft w:val="0"/>
          <w:marRight w:val="0"/>
          <w:marTop w:val="0"/>
          <w:marBottom w:val="0"/>
          <w:divBdr>
            <w:top w:val="none" w:sz="0" w:space="0" w:color="auto"/>
            <w:left w:val="none" w:sz="0" w:space="0" w:color="auto"/>
            <w:bottom w:val="none" w:sz="0" w:space="0" w:color="auto"/>
            <w:right w:val="none" w:sz="0" w:space="0" w:color="auto"/>
          </w:divBdr>
          <w:divsChild>
            <w:div w:id="626594486">
              <w:marLeft w:val="0"/>
              <w:marRight w:val="0"/>
              <w:marTop w:val="0"/>
              <w:marBottom w:val="0"/>
              <w:divBdr>
                <w:top w:val="none" w:sz="0" w:space="0" w:color="auto"/>
                <w:left w:val="none" w:sz="0" w:space="0" w:color="auto"/>
                <w:bottom w:val="none" w:sz="0" w:space="0" w:color="auto"/>
                <w:right w:val="none" w:sz="0" w:space="0" w:color="auto"/>
              </w:divBdr>
              <w:divsChild>
                <w:div w:id="16265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705339">
      <w:bodyDiv w:val="1"/>
      <w:marLeft w:val="0"/>
      <w:marRight w:val="0"/>
      <w:marTop w:val="0"/>
      <w:marBottom w:val="0"/>
      <w:divBdr>
        <w:top w:val="none" w:sz="0" w:space="0" w:color="auto"/>
        <w:left w:val="none" w:sz="0" w:space="0" w:color="auto"/>
        <w:bottom w:val="none" w:sz="0" w:space="0" w:color="auto"/>
        <w:right w:val="none" w:sz="0" w:space="0" w:color="auto"/>
      </w:divBdr>
    </w:div>
    <w:div w:id="380709986">
      <w:bodyDiv w:val="1"/>
      <w:marLeft w:val="0"/>
      <w:marRight w:val="0"/>
      <w:marTop w:val="0"/>
      <w:marBottom w:val="0"/>
      <w:divBdr>
        <w:top w:val="none" w:sz="0" w:space="0" w:color="auto"/>
        <w:left w:val="none" w:sz="0" w:space="0" w:color="auto"/>
        <w:bottom w:val="none" w:sz="0" w:space="0" w:color="auto"/>
        <w:right w:val="none" w:sz="0" w:space="0" w:color="auto"/>
      </w:divBdr>
    </w:div>
    <w:div w:id="386075369">
      <w:bodyDiv w:val="1"/>
      <w:marLeft w:val="0"/>
      <w:marRight w:val="0"/>
      <w:marTop w:val="0"/>
      <w:marBottom w:val="0"/>
      <w:divBdr>
        <w:top w:val="none" w:sz="0" w:space="0" w:color="auto"/>
        <w:left w:val="none" w:sz="0" w:space="0" w:color="auto"/>
        <w:bottom w:val="none" w:sz="0" w:space="0" w:color="auto"/>
        <w:right w:val="none" w:sz="0" w:space="0" w:color="auto"/>
      </w:divBdr>
    </w:div>
    <w:div w:id="392313484">
      <w:bodyDiv w:val="1"/>
      <w:marLeft w:val="0"/>
      <w:marRight w:val="0"/>
      <w:marTop w:val="0"/>
      <w:marBottom w:val="0"/>
      <w:divBdr>
        <w:top w:val="none" w:sz="0" w:space="0" w:color="auto"/>
        <w:left w:val="none" w:sz="0" w:space="0" w:color="auto"/>
        <w:bottom w:val="none" w:sz="0" w:space="0" w:color="auto"/>
        <w:right w:val="none" w:sz="0" w:space="0" w:color="auto"/>
      </w:divBdr>
    </w:div>
    <w:div w:id="392701043">
      <w:bodyDiv w:val="1"/>
      <w:marLeft w:val="0"/>
      <w:marRight w:val="0"/>
      <w:marTop w:val="0"/>
      <w:marBottom w:val="0"/>
      <w:divBdr>
        <w:top w:val="none" w:sz="0" w:space="0" w:color="auto"/>
        <w:left w:val="none" w:sz="0" w:space="0" w:color="auto"/>
        <w:bottom w:val="none" w:sz="0" w:space="0" w:color="auto"/>
        <w:right w:val="none" w:sz="0" w:space="0" w:color="auto"/>
      </w:divBdr>
      <w:divsChild>
        <w:div w:id="738282272">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393546544">
      <w:bodyDiv w:val="1"/>
      <w:marLeft w:val="0"/>
      <w:marRight w:val="0"/>
      <w:marTop w:val="0"/>
      <w:marBottom w:val="0"/>
      <w:divBdr>
        <w:top w:val="none" w:sz="0" w:space="0" w:color="auto"/>
        <w:left w:val="none" w:sz="0" w:space="0" w:color="auto"/>
        <w:bottom w:val="none" w:sz="0" w:space="0" w:color="auto"/>
        <w:right w:val="none" w:sz="0" w:space="0" w:color="auto"/>
      </w:divBdr>
    </w:div>
    <w:div w:id="401758918">
      <w:bodyDiv w:val="1"/>
      <w:marLeft w:val="0"/>
      <w:marRight w:val="0"/>
      <w:marTop w:val="0"/>
      <w:marBottom w:val="0"/>
      <w:divBdr>
        <w:top w:val="none" w:sz="0" w:space="0" w:color="auto"/>
        <w:left w:val="none" w:sz="0" w:space="0" w:color="auto"/>
        <w:bottom w:val="none" w:sz="0" w:space="0" w:color="auto"/>
        <w:right w:val="none" w:sz="0" w:space="0" w:color="auto"/>
      </w:divBdr>
    </w:div>
    <w:div w:id="402215230">
      <w:bodyDiv w:val="1"/>
      <w:marLeft w:val="0"/>
      <w:marRight w:val="0"/>
      <w:marTop w:val="0"/>
      <w:marBottom w:val="0"/>
      <w:divBdr>
        <w:top w:val="none" w:sz="0" w:space="0" w:color="auto"/>
        <w:left w:val="none" w:sz="0" w:space="0" w:color="auto"/>
        <w:bottom w:val="none" w:sz="0" w:space="0" w:color="auto"/>
        <w:right w:val="none" w:sz="0" w:space="0" w:color="auto"/>
      </w:divBdr>
    </w:div>
    <w:div w:id="404034407">
      <w:bodyDiv w:val="1"/>
      <w:marLeft w:val="0"/>
      <w:marRight w:val="0"/>
      <w:marTop w:val="0"/>
      <w:marBottom w:val="0"/>
      <w:divBdr>
        <w:top w:val="none" w:sz="0" w:space="0" w:color="auto"/>
        <w:left w:val="none" w:sz="0" w:space="0" w:color="auto"/>
        <w:bottom w:val="none" w:sz="0" w:space="0" w:color="auto"/>
        <w:right w:val="none" w:sz="0" w:space="0" w:color="auto"/>
      </w:divBdr>
      <w:divsChild>
        <w:div w:id="494994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029734">
      <w:bodyDiv w:val="1"/>
      <w:marLeft w:val="0"/>
      <w:marRight w:val="0"/>
      <w:marTop w:val="0"/>
      <w:marBottom w:val="0"/>
      <w:divBdr>
        <w:top w:val="none" w:sz="0" w:space="0" w:color="auto"/>
        <w:left w:val="none" w:sz="0" w:space="0" w:color="auto"/>
        <w:bottom w:val="none" w:sz="0" w:space="0" w:color="auto"/>
        <w:right w:val="none" w:sz="0" w:space="0" w:color="auto"/>
      </w:divBdr>
    </w:div>
    <w:div w:id="406267785">
      <w:bodyDiv w:val="1"/>
      <w:marLeft w:val="0"/>
      <w:marRight w:val="0"/>
      <w:marTop w:val="0"/>
      <w:marBottom w:val="0"/>
      <w:divBdr>
        <w:top w:val="none" w:sz="0" w:space="0" w:color="auto"/>
        <w:left w:val="none" w:sz="0" w:space="0" w:color="auto"/>
        <w:bottom w:val="none" w:sz="0" w:space="0" w:color="auto"/>
        <w:right w:val="none" w:sz="0" w:space="0" w:color="auto"/>
      </w:divBdr>
    </w:div>
    <w:div w:id="406996215">
      <w:bodyDiv w:val="1"/>
      <w:marLeft w:val="0"/>
      <w:marRight w:val="0"/>
      <w:marTop w:val="0"/>
      <w:marBottom w:val="0"/>
      <w:divBdr>
        <w:top w:val="none" w:sz="0" w:space="0" w:color="auto"/>
        <w:left w:val="none" w:sz="0" w:space="0" w:color="auto"/>
        <w:bottom w:val="none" w:sz="0" w:space="0" w:color="auto"/>
        <w:right w:val="none" w:sz="0" w:space="0" w:color="auto"/>
      </w:divBdr>
    </w:div>
    <w:div w:id="414088282">
      <w:bodyDiv w:val="1"/>
      <w:marLeft w:val="0"/>
      <w:marRight w:val="0"/>
      <w:marTop w:val="0"/>
      <w:marBottom w:val="0"/>
      <w:divBdr>
        <w:top w:val="none" w:sz="0" w:space="0" w:color="auto"/>
        <w:left w:val="none" w:sz="0" w:space="0" w:color="auto"/>
        <w:bottom w:val="none" w:sz="0" w:space="0" w:color="auto"/>
        <w:right w:val="none" w:sz="0" w:space="0" w:color="auto"/>
      </w:divBdr>
      <w:divsChild>
        <w:div w:id="345206866">
          <w:marLeft w:val="0"/>
          <w:marRight w:val="0"/>
          <w:marTop w:val="0"/>
          <w:marBottom w:val="0"/>
          <w:divBdr>
            <w:top w:val="none" w:sz="0" w:space="0" w:color="auto"/>
            <w:left w:val="none" w:sz="0" w:space="0" w:color="auto"/>
            <w:bottom w:val="none" w:sz="0" w:space="0" w:color="auto"/>
            <w:right w:val="none" w:sz="0" w:space="0" w:color="auto"/>
          </w:divBdr>
          <w:divsChild>
            <w:div w:id="1192644497">
              <w:marLeft w:val="0"/>
              <w:marRight w:val="0"/>
              <w:marTop w:val="0"/>
              <w:marBottom w:val="0"/>
              <w:divBdr>
                <w:top w:val="none" w:sz="0" w:space="0" w:color="auto"/>
                <w:left w:val="none" w:sz="0" w:space="0" w:color="auto"/>
                <w:bottom w:val="none" w:sz="0" w:space="0" w:color="auto"/>
                <w:right w:val="none" w:sz="0" w:space="0" w:color="auto"/>
              </w:divBdr>
              <w:divsChild>
                <w:div w:id="4711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799636">
      <w:bodyDiv w:val="1"/>
      <w:marLeft w:val="0"/>
      <w:marRight w:val="0"/>
      <w:marTop w:val="0"/>
      <w:marBottom w:val="0"/>
      <w:divBdr>
        <w:top w:val="none" w:sz="0" w:space="0" w:color="auto"/>
        <w:left w:val="none" w:sz="0" w:space="0" w:color="auto"/>
        <w:bottom w:val="none" w:sz="0" w:space="0" w:color="auto"/>
        <w:right w:val="none" w:sz="0" w:space="0" w:color="auto"/>
      </w:divBdr>
    </w:div>
    <w:div w:id="426002576">
      <w:bodyDiv w:val="1"/>
      <w:marLeft w:val="0"/>
      <w:marRight w:val="0"/>
      <w:marTop w:val="0"/>
      <w:marBottom w:val="0"/>
      <w:divBdr>
        <w:top w:val="none" w:sz="0" w:space="0" w:color="auto"/>
        <w:left w:val="none" w:sz="0" w:space="0" w:color="auto"/>
        <w:bottom w:val="none" w:sz="0" w:space="0" w:color="auto"/>
        <w:right w:val="none" w:sz="0" w:space="0" w:color="auto"/>
      </w:divBdr>
    </w:div>
    <w:div w:id="429008340">
      <w:bodyDiv w:val="1"/>
      <w:marLeft w:val="0"/>
      <w:marRight w:val="0"/>
      <w:marTop w:val="0"/>
      <w:marBottom w:val="0"/>
      <w:divBdr>
        <w:top w:val="none" w:sz="0" w:space="0" w:color="auto"/>
        <w:left w:val="none" w:sz="0" w:space="0" w:color="auto"/>
        <w:bottom w:val="none" w:sz="0" w:space="0" w:color="auto"/>
        <w:right w:val="none" w:sz="0" w:space="0" w:color="auto"/>
      </w:divBdr>
    </w:div>
    <w:div w:id="438448794">
      <w:bodyDiv w:val="1"/>
      <w:marLeft w:val="0"/>
      <w:marRight w:val="0"/>
      <w:marTop w:val="0"/>
      <w:marBottom w:val="0"/>
      <w:divBdr>
        <w:top w:val="none" w:sz="0" w:space="0" w:color="auto"/>
        <w:left w:val="none" w:sz="0" w:space="0" w:color="auto"/>
        <w:bottom w:val="none" w:sz="0" w:space="0" w:color="auto"/>
        <w:right w:val="none" w:sz="0" w:space="0" w:color="auto"/>
      </w:divBdr>
    </w:div>
    <w:div w:id="441144189">
      <w:bodyDiv w:val="1"/>
      <w:marLeft w:val="0"/>
      <w:marRight w:val="0"/>
      <w:marTop w:val="0"/>
      <w:marBottom w:val="0"/>
      <w:divBdr>
        <w:top w:val="none" w:sz="0" w:space="0" w:color="auto"/>
        <w:left w:val="none" w:sz="0" w:space="0" w:color="auto"/>
        <w:bottom w:val="none" w:sz="0" w:space="0" w:color="auto"/>
        <w:right w:val="none" w:sz="0" w:space="0" w:color="auto"/>
      </w:divBdr>
    </w:div>
    <w:div w:id="446244327">
      <w:bodyDiv w:val="1"/>
      <w:marLeft w:val="0"/>
      <w:marRight w:val="0"/>
      <w:marTop w:val="0"/>
      <w:marBottom w:val="0"/>
      <w:divBdr>
        <w:top w:val="none" w:sz="0" w:space="0" w:color="auto"/>
        <w:left w:val="none" w:sz="0" w:space="0" w:color="auto"/>
        <w:bottom w:val="none" w:sz="0" w:space="0" w:color="auto"/>
        <w:right w:val="none" w:sz="0" w:space="0" w:color="auto"/>
      </w:divBdr>
      <w:divsChild>
        <w:div w:id="736704310">
          <w:marLeft w:val="0"/>
          <w:marRight w:val="0"/>
          <w:marTop w:val="0"/>
          <w:marBottom w:val="0"/>
          <w:divBdr>
            <w:top w:val="none" w:sz="0" w:space="0" w:color="auto"/>
            <w:left w:val="none" w:sz="0" w:space="0" w:color="auto"/>
            <w:bottom w:val="none" w:sz="0" w:space="0" w:color="auto"/>
            <w:right w:val="none" w:sz="0" w:space="0" w:color="auto"/>
          </w:divBdr>
          <w:divsChild>
            <w:div w:id="2055079757">
              <w:marLeft w:val="0"/>
              <w:marRight w:val="0"/>
              <w:marTop w:val="0"/>
              <w:marBottom w:val="0"/>
              <w:divBdr>
                <w:top w:val="none" w:sz="0" w:space="0" w:color="auto"/>
                <w:left w:val="none" w:sz="0" w:space="0" w:color="auto"/>
                <w:bottom w:val="none" w:sz="0" w:space="0" w:color="auto"/>
                <w:right w:val="none" w:sz="0" w:space="0" w:color="auto"/>
              </w:divBdr>
              <w:divsChild>
                <w:div w:id="73100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82798">
      <w:bodyDiv w:val="1"/>
      <w:marLeft w:val="0"/>
      <w:marRight w:val="0"/>
      <w:marTop w:val="0"/>
      <w:marBottom w:val="0"/>
      <w:divBdr>
        <w:top w:val="none" w:sz="0" w:space="0" w:color="auto"/>
        <w:left w:val="none" w:sz="0" w:space="0" w:color="auto"/>
        <w:bottom w:val="none" w:sz="0" w:space="0" w:color="auto"/>
        <w:right w:val="none" w:sz="0" w:space="0" w:color="auto"/>
      </w:divBdr>
    </w:div>
    <w:div w:id="454907326">
      <w:bodyDiv w:val="1"/>
      <w:marLeft w:val="0"/>
      <w:marRight w:val="0"/>
      <w:marTop w:val="0"/>
      <w:marBottom w:val="0"/>
      <w:divBdr>
        <w:top w:val="none" w:sz="0" w:space="0" w:color="auto"/>
        <w:left w:val="none" w:sz="0" w:space="0" w:color="auto"/>
        <w:bottom w:val="none" w:sz="0" w:space="0" w:color="auto"/>
        <w:right w:val="none" w:sz="0" w:space="0" w:color="auto"/>
      </w:divBdr>
    </w:div>
    <w:div w:id="457996112">
      <w:bodyDiv w:val="1"/>
      <w:marLeft w:val="0"/>
      <w:marRight w:val="0"/>
      <w:marTop w:val="0"/>
      <w:marBottom w:val="0"/>
      <w:divBdr>
        <w:top w:val="none" w:sz="0" w:space="0" w:color="auto"/>
        <w:left w:val="none" w:sz="0" w:space="0" w:color="auto"/>
        <w:bottom w:val="none" w:sz="0" w:space="0" w:color="auto"/>
        <w:right w:val="none" w:sz="0" w:space="0" w:color="auto"/>
      </w:divBdr>
    </w:div>
    <w:div w:id="461465081">
      <w:bodyDiv w:val="1"/>
      <w:marLeft w:val="0"/>
      <w:marRight w:val="0"/>
      <w:marTop w:val="0"/>
      <w:marBottom w:val="0"/>
      <w:divBdr>
        <w:top w:val="none" w:sz="0" w:space="0" w:color="auto"/>
        <w:left w:val="none" w:sz="0" w:space="0" w:color="auto"/>
        <w:bottom w:val="none" w:sz="0" w:space="0" w:color="auto"/>
        <w:right w:val="none" w:sz="0" w:space="0" w:color="auto"/>
      </w:divBdr>
    </w:div>
    <w:div w:id="463888532">
      <w:bodyDiv w:val="1"/>
      <w:marLeft w:val="0"/>
      <w:marRight w:val="0"/>
      <w:marTop w:val="0"/>
      <w:marBottom w:val="0"/>
      <w:divBdr>
        <w:top w:val="none" w:sz="0" w:space="0" w:color="auto"/>
        <w:left w:val="none" w:sz="0" w:space="0" w:color="auto"/>
        <w:bottom w:val="none" w:sz="0" w:space="0" w:color="auto"/>
        <w:right w:val="none" w:sz="0" w:space="0" w:color="auto"/>
      </w:divBdr>
    </w:div>
    <w:div w:id="465049244">
      <w:bodyDiv w:val="1"/>
      <w:marLeft w:val="0"/>
      <w:marRight w:val="0"/>
      <w:marTop w:val="0"/>
      <w:marBottom w:val="0"/>
      <w:divBdr>
        <w:top w:val="none" w:sz="0" w:space="0" w:color="auto"/>
        <w:left w:val="none" w:sz="0" w:space="0" w:color="auto"/>
        <w:bottom w:val="none" w:sz="0" w:space="0" w:color="auto"/>
        <w:right w:val="none" w:sz="0" w:space="0" w:color="auto"/>
      </w:divBdr>
    </w:div>
    <w:div w:id="467163381">
      <w:bodyDiv w:val="1"/>
      <w:marLeft w:val="0"/>
      <w:marRight w:val="0"/>
      <w:marTop w:val="0"/>
      <w:marBottom w:val="0"/>
      <w:divBdr>
        <w:top w:val="none" w:sz="0" w:space="0" w:color="auto"/>
        <w:left w:val="none" w:sz="0" w:space="0" w:color="auto"/>
        <w:bottom w:val="none" w:sz="0" w:space="0" w:color="auto"/>
        <w:right w:val="none" w:sz="0" w:space="0" w:color="auto"/>
      </w:divBdr>
    </w:div>
    <w:div w:id="467554260">
      <w:bodyDiv w:val="1"/>
      <w:marLeft w:val="0"/>
      <w:marRight w:val="0"/>
      <w:marTop w:val="0"/>
      <w:marBottom w:val="0"/>
      <w:divBdr>
        <w:top w:val="none" w:sz="0" w:space="0" w:color="auto"/>
        <w:left w:val="none" w:sz="0" w:space="0" w:color="auto"/>
        <w:bottom w:val="none" w:sz="0" w:space="0" w:color="auto"/>
        <w:right w:val="none" w:sz="0" w:space="0" w:color="auto"/>
      </w:divBdr>
    </w:div>
    <w:div w:id="471753717">
      <w:bodyDiv w:val="1"/>
      <w:marLeft w:val="0"/>
      <w:marRight w:val="0"/>
      <w:marTop w:val="0"/>
      <w:marBottom w:val="0"/>
      <w:divBdr>
        <w:top w:val="none" w:sz="0" w:space="0" w:color="auto"/>
        <w:left w:val="none" w:sz="0" w:space="0" w:color="auto"/>
        <w:bottom w:val="none" w:sz="0" w:space="0" w:color="auto"/>
        <w:right w:val="none" w:sz="0" w:space="0" w:color="auto"/>
      </w:divBdr>
      <w:divsChild>
        <w:div w:id="1887644846">
          <w:marLeft w:val="0"/>
          <w:marRight w:val="0"/>
          <w:marTop w:val="0"/>
          <w:marBottom w:val="0"/>
          <w:divBdr>
            <w:top w:val="none" w:sz="0" w:space="0" w:color="auto"/>
            <w:left w:val="none" w:sz="0" w:space="0" w:color="auto"/>
            <w:bottom w:val="none" w:sz="0" w:space="0" w:color="auto"/>
            <w:right w:val="none" w:sz="0" w:space="0" w:color="auto"/>
          </w:divBdr>
          <w:divsChild>
            <w:div w:id="1078091318">
              <w:marLeft w:val="0"/>
              <w:marRight w:val="0"/>
              <w:marTop w:val="0"/>
              <w:marBottom w:val="0"/>
              <w:divBdr>
                <w:top w:val="none" w:sz="0" w:space="0" w:color="auto"/>
                <w:left w:val="none" w:sz="0" w:space="0" w:color="auto"/>
                <w:bottom w:val="none" w:sz="0" w:space="0" w:color="auto"/>
                <w:right w:val="none" w:sz="0" w:space="0" w:color="auto"/>
              </w:divBdr>
              <w:divsChild>
                <w:div w:id="8186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13506">
      <w:bodyDiv w:val="1"/>
      <w:marLeft w:val="0"/>
      <w:marRight w:val="0"/>
      <w:marTop w:val="0"/>
      <w:marBottom w:val="0"/>
      <w:divBdr>
        <w:top w:val="none" w:sz="0" w:space="0" w:color="auto"/>
        <w:left w:val="none" w:sz="0" w:space="0" w:color="auto"/>
        <w:bottom w:val="none" w:sz="0" w:space="0" w:color="auto"/>
        <w:right w:val="none" w:sz="0" w:space="0" w:color="auto"/>
      </w:divBdr>
    </w:div>
    <w:div w:id="475728429">
      <w:bodyDiv w:val="1"/>
      <w:marLeft w:val="0"/>
      <w:marRight w:val="0"/>
      <w:marTop w:val="0"/>
      <w:marBottom w:val="0"/>
      <w:divBdr>
        <w:top w:val="none" w:sz="0" w:space="0" w:color="auto"/>
        <w:left w:val="none" w:sz="0" w:space="0" w:color="auto"/>
        <w:bottom w:val="none" w:sz="0" w:space="0" w:color="auto"/>
        <w:right w:val="none" w:sz="0" w:space="0" w:color="auto"/>
      </w:divBdr>
      <w:divsChild>
        <w:div w:id="127737173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476186703">
      <w:bodyDiv w:val="1"/>
      <w:marLeft w:val="0"/>
      <w:marRight w:val="0"/>
      <w:marTop w:val="0"/>
      <w:marBottom w:val="0"/>
      <w:divBdr>
        <w:top w:val="none" w:sz="0" w:space="0" w:color="auto"/>
        <w:left w:val="none" w:sz="0" w:space="0" w:color="auto"/>
        <w:bottom w:val="none" w:sz="0" w:space="0" w:color="auto"/>
        <w:right w:val="none" w:sz="0" w:space="0" w:color="auto"/>
      </w:divBdr>
    </w:div>
    <w:div w:id="480579693">
      <w:bodyDiv w:val="1"/>
      <w:marLeft w:val="0"/>
      <w:marRight w:val="0"/>
      <w:marTop w:val="0"/>
      <w:marBottom w:val="0"/>
      <w:divBdr>
        <w:top w:val="none" w:sz="0" w:space="0" w:color="auto"/>
        <w:left w:val="none" w:sz="0" w:space="0" w:color="auto"/>
        <w:bottom w:val="none" w:sz="0" w:space="0" w:color="auto"/>
        <w:right w:val="none" w:sz="0" w:space="0" w:color="auto"/>
      </w:divBdr>
      <w:divsChild>
        <w:div w:id="1196504804">
          <w:marLeft w:val="0"/>
          <w:marRight w:val="0"/>
          <w:marTop w:val="0"/>
          <w:marBottom w:val="0"/>
          <w:divBdr>
            <w:top w:val="single" w:sz="6" w:space="0" w:color="000000"/>
            <w:left w:val="single" w:sz="6" w:space="0" w:color="000000"/>
            <w:bottom w:val="single" w:sz="6" w:space="0" w:color="000000"/>
            <w:right w:val="single" w:sz="6" w:space="0" w:color="000000"/>
          </w:divBdr>
        </w:div>
        <w:div w:id="1428305200">
          <w:marLeft w:val="0"/>
          <w:marRight w:val="0"/>
          <w:marTop w:val="0"/>
          <w:marBottom w:val="0"/>
          <w:divBdr>
            <w:top w:val="none" w:sz="0" w:space="0" w:color="auto"/>
            <w:left w:val="none" w:sz="0" w:space="0" w:color="auto"/>
            <w:bottom w:val="none" w:sz="0" w:space="0" w:color="auto"/>
            <w:right w:val="none" w:sz="0" w:space="0" w:color="auto"/>
          </w:divBdr>
        </w:div>
      </w:divsChild>
    </w:div>
    <w:div w:id="496654492">
      <w:bodyDiv w:val="1"/>
      <w:marLeft w:val="0"/>
      <w:marRight w:val="0"/>
      <w:marTop w:val="0"/>
      <w:marBottom w:val="0"/>
      <w:divBdr>
        <w:top w:val="none" w:sz="0" w:space="0" w:color="auto"/>
        <w:left w:val="none" w:sz="0" w:space="0" w:color="auto"/>
        <w:bottom w:val="none" w:sz="0" w:space="0" w:color="auto"/>
        <w:right w:val="none" w:sz="0" w:space="0" w:color="auto"/>
      </w:divBdr>
    </w:div>
    <w:div w:id="507598658">
      <w:bodyDiv w:val="1"/>
      <w:marLeft w:val="0"/>
      <w:marRight w:val="0"/>
      <w:marTop w:val="0"/>
      <w:marBottom w:val="0"/>
      <w:divBdr>
        <w:top w:val="none" w:sz="0" w:space="0" w:color="auto"/>
        <w:left w:val="none" w:sz="0" w:space="0" w:color="auto"/>
        <w:bottom w:val="none" w:sz="0" w:space="0" w:color="auto"/>
        <w:right w:val="none" w:sz="0" w:space="0" w:color="auto"/>
      </w:divBdr>
    </w:div>
    <w:div w:id="507672491">
      <w:bodyDiv w:val="1"/>
      <w:marLeft w:val="0"/>
      <w:marRight w:val="0"/>
      <w:marTop w:val="0"/>
      <w:marBottom w:val="0"/>
      <w:divBdr>
        <w:top w:val="none" w:sz="0" w:space="0" w:color="auto"/>
        <w:left w:val="none" w:sz="0" w:space="0" w:color="auto"/>
        <w:bottom w:val="none" w:sz="0" w:space="0" w:color="auto"/>
        <w:right w:val="none" w:sz="0" w:space="0" w:color="auto"/>
      </w:divBdr>
    </w:div>
    <w:div w:id="509028516">
      <w:bodyDiv w:val="1"/>
      <w:marLeft w:val="0"/>
      <w:marRight w:val="0"/>
      <w:marTop w:val="0"/>
      <w:marBottom w:val="0"/>
      <w:divBdr>
        <w:top w:val="none" w:sz="0" w:space="0" w:color="auto"/>
        <w:left w:val="none" w:sz="0" w:space="0" w:color="auto"/>
        <w:bottom w:val="none" w:sz="0" w:space="0" w:color="auto"/>
        <w:right w:val="none" w:sz="0" w:space="0" w:color="auto"/>
      </w:divBdr>
    </w:div>
    <w:div w:id="516970741">
      <w:bodyDiv w:val="1"/>
      <w:marLeft w:val="0"/>
      <w:marRight w:val="0"/>
      <w:marTop w:val="0"/>
      <w:marBottom w:val="0"/>
      <w:divBdr>
        <w:top w:val="none" w:sz="0" w:space="0" w:color="auto"/>
        <w:left w:val="none" w:sz="0" w:space="0" w:color="auto"/>
        <w:bottom w:val="none" w:sz="0" w:space="0" w:color="auto"/>
        <w:right w:val="none" w:sz="0" w:space="0" w:color="auto"/>
      </w:divBdr>
    </w:div>
    <w:div w:id="517694467">
      <w:bodyDiv w:val="1"/>
      <w:marLeft w:val="0"/>
      <w:marRight w:val="0"/>
      <w:marTop w:val="0"/>
      <w:marBottom w:val="0"/>
      <w:divBdr>
        <w:top w:val="none" w:sz="0" w:space="0" w:color="auto"/>
        <w:left w:val="none" w:sz="0" w:space="0" w:color="auto"/>
        <w:bottom w:val="none" w:sz="0" w:space="0" w:color="auto"/>
        <w:right w:val="none" w:sz="0" w:space="0" w:color="auto"/>
      </w:divBdr>
      <w:divsChild>
        <w:div w:id="524288137">
          <w:marLeft w:val="0"/>
          <w:marRight w:val="0"/>
          <w:marTop w:val="0"/>
          <w:marBottom w:val="0"/>
          <w:divBdr>
            <w:top w:val="none" w:sz="0" w:space="0" w:color="auto"/>
            <w:left w:val="none" w:sz="0" w:space="0" w:color="auto"/>
            <w:bottom w:val="none" w:sz="0" w:space="0" w:color="auto"/>
            <w:right w:val="none" w:sz="0" w:space="0" w:color="auto"/>
          </w:divBdr>
          <w:divsChild>
            <w:div w:id="1206867951">
              <w:marLeft w:val="0"/>
              <w:marRight w:val="0"/>
              <w:marTop w:val="0"/>
              <w:marBottom w:val="0"/>
              <w:divBdr>
                <w:top w:val="none" w:sz="0" w:space="0" w:color="auto"/>
                <w:left w:val="none" w:sz="0" w:space="0" w:color="auto"/>
                <w:bottom w:val="none" w:sz="0" w:space="0" w:color="auto"/>
                <w:right w:val="none" w:sz="0" w:space="0" w:color="auto"/>
              </w:divBdr>
              <w:divsChild>
                <w:div w:id="20493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240299">
      <w:bodyDiv w:val="1"/>
      <w:marLeft w:val="0"/>
      <w:marRight w:val="0"/>
      <w:marTop w:val="0"/>
      <w:marBottom w:val="0"/>
      <w:divBdr>
        <w:top w:val="none" w:sz="0" w:space="0" w:color="auto"/>
        <w:left w:val="none" w:sz="0" w:space="0" w:color="auto"/>
        <w:bottom w:val="none" w:sz="0" w:space="0" w:color="auto"/>
        <w:right w:val="none" w:sz="0" w:space="0" w:color="auto"/>
      </w:divBdr>
      <w:divsChild>
        <w:div w:id="8319188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20633669">
      <w:bodyDiv w:val="1"/>
      <w:marLeft w:val="0"/>
      <w:marRight w:val="0"/>
      <w:marTop w:val="0"/>
      <w:marBottom w:val="0"/>
      <w:divBdr>
        <w:top w:val="none" w:sz="0" w:space="0" w:color="auto"/>
        <w:left w:val="none" w:sz="0" w:space="0" w:color="auto"/>
        <w:bottom w:val="none" w:sz="0" w:space="0" w:color="auto"/>
        <w:right w:val="none" w:sz="0" w:space="0" w:color="auto"/>
      </w:divBdr>
    </w:div>
    <w:div w:id="522986625">
      <w:bodyDiv w:val="1"/>
      <w:marLeft w:val="0"/>
      <w:marRight w:val="0"/>
      <w:marTop w:val="0"/>
      <w:marBottom w:val="0"/>
      <w:divBdr>
        <w:top w:val="none" w:sz="0" w:space="0" w:color="auto"/>
        <w:left w:val="none" w:sz="0" w:space="0" w:color="auto"/>
        <w:bottom w:val="none" w:sz="0" w:space="0" w:color="auto"/>
        <w:right w:val="none" w:sz="0" w:space="0" w:color="auto"/>
      </w:divBdr>
    </w:div>
    <w:div w:id="527377555">
      <w:bodyDiv w:val="1"/>
      <w:marLeft w:val="0"/>
      <w:marRight w:val="0"/>
      <w:marTop w:val="0"/>
      <w:marBottom w:val="0"/>
      <w:divBdr>
        <w:top w:val="none" w:sz="0" w:space="0" w:color="auto"/>
        <w:left w:val="none" w:sz="0" w:space="0" w:color="auto"/>
        <w:bottom w:val="none" w:sz="0" w:space="0" w:color="auto"/>
        <w:right w:val="none" w:sz="0" w:space="0" w:color="auto"/>
      </w:divBdr>
    </w:div>
    <w:div w:id="527839013">
      <w:bodyDiv w:val="1"/>
      <w:marLeft w:val="0"/>
      <w:marRight w:val="0"/>
      <w:marTop w:val="0"/>
      <w:marBottom w:val="0"/>
      <w:divBdr>
        <w:top w:val="none" w:sz="0" w:space="0" w:color="auto"/>
        <w:left w:val="none" w:sz="0" w:space="0" w:color="auto"/>
        <w:bottom w:val="none" w:sz="0" w:space="0" w:color="auto"/>
        <w:right w:val="none" w:sz="0" w:space="0" w:color="auto"/>
      </w:divBdr>
    </w:div>
    <w:div w:id="531842373">
      <w:bodyDiv w:val="1"/>
      <w:marLeft w:val="0"/>
      <w:marRight w:val="0"/>
      <w:marTop w:val="0"/>
      <w:marBottom w:val="0"/>
      <w:divBdr>
        <w:top w:val="none" w:sz="0" w:space="0" w:color="auto"/>
        <w:left w:val="none" w:sz="0" w:space="0" w:color="auto"/>
        <w:bottom w:val="none" w:sz="0" w:space="0" w:color="auto"/>
        <w:right w:val="none" w:sz="0" w:space="0" w:color="auto"/>
      </w:divBdr>
    </w:div>
    <w:div w:id="535123587">
      <w:bodyDiv w:val="1"/>
      <w:marLeft w:val="0"/>
      <w:marRight w:val="0"/>
      <w:marTop w:val="0"/>
      <w:marBottom w:val="0"/>
      <w:divBdr>
        <w:top w:val="none" w:sz="0" w:space="0" w:color="auto"/>
        <w:left w:val="none" w:sz="0" w:space="0" w:color="auto"/>
        <w:bottom w:val="none" w:sz="0" w:space="0" w:color="auto"/>
        <w:right w:val="none" w:sz="0" w:space="0" w:color="auto"/>
      </w:divBdr>
    </w:div>
    <w:div w:id="535309613">
      <w:bodyDiv w:val="1"/>
      <w:marLeft w:val="0"/>
      <w:marRight w:val="0"/>
      <w:marTop w:val="0"/>
      <w:marBottom w:val="0"/>
      <w:divBdr>
        <w:top w:val="none" w:sz="0" w:space="0" w:color="auto"/>
        <w:left w:val="none" w:sz="0" w:space="0" w:color="auto"/>
        <w:bottom w:val="none" w:sz="0" w:space="0" w:color="auto"/>
        <w:right w:val="none" w:sz="0" w:space="0" w:color="auto"/>
      </w:divBdr>
    </w:div>
    <w:div w:id="539560749">
      <w:bodyDiv w:val="1"/>
      <w:marLeft w:val="0"/>
      <w:marRight w:val="0"/>
      <w:marTop w:val="0"/>
      <w:marBottom w:val="0"/>
      <w:divBdr>
        <w:top w:val="none" w:sz="0" w:space="0" w:color="auto"/>
        <w:left w:val="none" w:sz="0" w:space="0" w:color="auto"/>
        <w:bottom w:val="none" w:sz="0" w:space="0" w:color="auto"/>
        <w:right w:val="none" w:sz="0" w:space="0" w:color="auto"/>
      </w:divBdr>
    </w:div>
    <w:div w:id="541140383">
      <w:bodyDiv w:val="1"/>
      <w:marLeft w:val="0"/>
      <w:marRight w:val="0"/>
      <w:marTop w:val="0"/>
      <w:marBottom w:val="0"/>
      <w:divBdr>
        <w:top w:val="none" w:sz="0" w:space="0" w:color="auto"/>
        <w:left w:val="none" w:sz="0" w:space="0" w:color="auto"/>
        <w:bottom w:val="none" w:sz="0" w:space="0" w:color="auto"/>
        <w:right w:val="none" w:sz="0" w:space="0" w:color="auto"/>
      </w:divBdr>
      <w:divsChild>
        <w:div w:id="431172041">
          <w:marLeft w:val="0"/>
          <w:marRight w:val="0"/>
          <w:marTop w:val="0"/>
          <w:marBottom w:val="0"/>
          <w:divBdr>
            <w:top w:val="none" w:sz="0" w:space="0" w:color="auto"/>
            <w:left w:val="none" w:sz="0" w:space="0" w:color="auto"/>
            <w:bottom w:val="none" w:sz="0" w:space="0" w:color="auto"/>
            <w:right w:val="none" w:sz="0" w:space="0" w:color="auto"/>
          </w:divBdr>
          <w:divsChild>
            <w:div w:id="799617698">
              <w:marLeft w:val="0"/>
              <w:marRight w:val="0"/>
              <w:marTop w:val="0"/>
              <w:marBottom w:val="0"/>
              <w:divBdr>
                <w:top w:val="none" w:sz="0" w:space="0" w:color="auto"/>
                <w:left w:val="none" w:sz="0" w:space="0" w:color="auto"/>
                <w:bottom w:val="none" w:sz="0" w:space="0" w:color="auto"/>
                <w:right w:val="none" w:sz="0" w:space="0" w:color="auto"/>
              </w:divBdr>
              <w:divsChild>
                <w:div w:id="158101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85876">
      <w:bodyDiv w:val="1"/>
      <w:marLeft w:val="0"/>
      <w:marRight w:val="0"/>
      <w:marTop w:val="0"/>
      <w:marBottom w:val="0"/>
      <w:divBdr>
        <w:top w:val="none" w:sz="0" w:space="0" w:color="auto"/>
        <w:left w:val="none" w:sz="0" w:space="0" w:color="auto"/>
        <w:bottom w:val="none" w:sz="0" w:space="0" w:color="auto"/>
        <w:right w:val="none" w:sz="0" w:space="0" w:color="auto"/>
      </w:divBdr>
    </w:div>
    <w:div w:id="542059700">
      <w:bodyDiv w:val="1"/>
      <w:marLeft w:val="0"/>
      <w:marRight w:val="0"/>
      <w:marTop w:val="0"/>
      <w:marBottom w:val="0"/>
      <w:divBdr>
        <w:top w:val="none" w:sz="0" w:space="0" w:color="auto"/>
        <w:left w:val="none" w:sz="0" w:space="0" w:color="auto"/>
        <w:bottom w:val="none" w:sz="0" w:space="0" w:color="auto"/>
        <w:right w:val="none" w:sz="0" w:space="0" w:color="auto"/>
      </w:divBdr>
    </w:div>
    <w:div w:id="543759133">
      <w:bodyDiv w:val="1"/>
      <w:marLeft w:val="0"/>
      <w:marRight w:val="0"/>
      <w:marTop w:val="0"/>
      <w:marBottom w:val="0"/>
      <w:divBdr>
        <w:top w:val="none" w:sz="0" w:space="0" w:color="auto"/>
        <w:left w:val="none" w:sz="0" w:space="0" w:color="auto"/>
        <w:bottom w:val="none" w:sz="0" w:space="0" w:color="auto"/>
        <w:right w:val="none" w:sz="0" w:space="0" w:color="auto"/>
      </w:divBdr>
    </w:div>
    <w:div w:id="545526466">
      <w:bodyDiv w:val="1"/>
      <w:marLeft w:val="0"/>
      <w:marRight w:val="0"/>
      <w:marTop w:val="0"/>
      <w:marBottom w:val="0"/>
      <w:divBdr>
        <w:top w:val="none" w:sz="0" w:space="0" w:color="auto"/>
        <w:left w:val="none" w:sz="0" w:space="0" w:color="auto"/>
        <w:bottom w:val="none" w:sz="0" w:space="0" w:color="auto"/>
        <w:right w:val="none" w:sz="0" w:space="0" w:color="auto"/>
      </w:divBdr>
    </w:div>
    <w:div w:id="545947521">
      <w:bodyDiv w:val="1"/>
      <w:marLeft w:val="0"/>
      <w:marRight w:val="0"/>
      <w:marTop w:val="0"/>
      <w:marBottom w:val="0"/>
      <w:divBdr>
        <w:top w:val="none" w:sz="0" w:space="0" w:color="auto"/>
        <w:left w:val="none" w:sz="0" w:space="0" w:color="auto"/>
        <w:bottom w:val="none" w:sz="0" w:space="0" w:color="auto"/>
        <w:right w:val="none" w:sz="0" w:space="0" w:color="auto"/>
      </w:divBdr>
    </w:div>
    <w:div w:id="551506708">
      <w:bodyDiv w:val="1"/>
      <w:marLeft w:val="0"/>
      <w:marRight w:val="0"/>
      <w:marTop w:val="0"/>
      <w:marBottom w:val="0"/>
      <w:divBdr>
        <w:top w:val="none" w:sz="0" w:space="0" w:color="auto"/>
        <w:left w:val="none" w:sz="0" w:space="0" w:color="auto"/>
        <w:bottom w:val="none" w:sz="0" w:space="0" w:color="auto"/>
        <w:right w:val="none" w:sz="0" w:space="0" w:color="auto"/>
      </w:divBdr>
      <w:divsChild>
        <w:div w:id="89974763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557743568">
      <w:bodyDiv w:val="1"/>
      <w:marLeft w:val="0"/>
      <w:marRight w:val="0"/>
      <w:marTop w:val="0"/>
      <w:marBottom w:val="0"/>
      <w:divBdr>
        <w:top w:val="none" w:sz="0" w:space="0" w:color="auto"/>
        <w:left w:val="none" w:sz="0" w:space="0" w:color="auto"/>
        <w:bottom w:val="none" w:sz="0" w:space="0" w:color="auto"/>
        <w:right w:val="none" w:sz="0" w:space="0" w:color="auto"/>
      </w:divBdr>
    </w:div>
    <w:div w:id="559288324">
      <w:bodyDiv w:val="1"/>
      <w:marLeft w:val="0"/>
      <w:marRight w:val="0"/>
      <w:marTop w:val="0"/>
      <w:marBottom w:val="0"/>
      <w:divBdr>
        <w:top w:val="none" w:sz="0" w:space="0" w:color="auto"/>
        <w:left w:val="none" w:sz="0" w:space="0" w:color="auto"/>
        <w:bottom w:val="none" w:sz="0" w:space="0" w:color="auto"/>
        <w:right w:val="none" w:sz="0" w:space="0" w:color="auto"/>
      </w:divBdr>
    </w:div>
    <w:div w:id="562176682">
      <w:bodyDiv w:val="1"/>
      <w:marLeft w:val="0"/>
      <w:marRight w:val="0"/>
      <w:marTop w:val="0"/>
      <w:marBottom w:val="0"/>
      <w:divBdr>
        <w:top w:val="none" w:sz="0" w:space="0" w:color="auto"/>
        <w:left w:val="none" w:sz="0" w:space="0" w:color="auto"/>
        <w:bottom w:val="none" w:sz="0" w:space="0" w:color="auto"/>
        <w:right w:val="none" w:sz="0" w:space="0" w:color="auto"/>
      </w:divBdr>
    </w:div>
    <w:div w:id="562913677">
      <w:bodyDiv w:val="1"/>
      <w:marLeft w:val="0"/>
      <w:marRight w:val="0"/>
      <w:marTop w:val="0"/>
      <w:marBottom w:val="0"/>
      <w:divBdr>
        <w:top w:val="none" w:sz="0" w:space="0" w:color="auto"/>
        <w:left w:val="none" w:sz="0" w:space="0" w:color="auto"/>
        <w:bottom w:val="none" w:sz="0" w:space="0" w:color="auto"/>
        <w:right w:val="none" w:sz="0" w:space="0" w:color="auto"/>
      </w:divBdr>
      <w:divsChild>
        <w:div w:id="904604295">
          <w:marLeft w:val="0"/>
          <w:marRight w:val="0"/>
          <w:marTop w:val="0"/>
          <w:marBottom w:val="0"/>
          <w:divBdr>
            <w:top w:val="none" w:sz="0" w:space="0" w:color="auto"/>
            <w:left w:val="none" w:sz="0" w:space="0" w:color="auto"/>
            <w:bottom w:val="none" w:sz="0" w:space="0" w:color="auto"/>
            <w:right w:val="none" w:sz="0" w:space="0" w:color="auto"/>
          </w:divBdr>
          <w:divsChild>
            <w:div w:id="1896817234">
              <w:marLeft w:val="0"/>
              <w:marRight w:val="0"/>
              <w:marTop w:val="0"/>
              <w:marBottom w:val="0"/>
              <w:divBdr>
                <w:top w:val="none" w:sz="0" w:space="0" w:color="auto"/>
                <w:left w:val="none" w:sz="0" w:space="0" w:color="auto"/>
                <w:bottom w:val="none" w:sz="0" w:space="0" w:color="auto"/>
                <w:right w:val="none" w:sz="0" w:space="0" w:color="auto"/>
              </w:divBdr>
              <w:divsChild>
                <w:div w:id="15191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725062">
      <w:bodyDiv w:val="1"/>
      <w:marLeft w:val="0"/>
      <w:marRight w:val="0"/>
      <w:marTop w:val="0"/>
      <w:marBottom w:val="0"/>
      <w:divBdr>
        <w:top w:val="none" w:sz="0" w:space="0" w:color="auto"/>
        <w:left w:val="none" w:sz="0" w:space="0" w:color="auto"/>
        <w:bottom w:val="none" w:sz="0" w:space="0" w:color="auto"/>
        <w:right w:val="none" w:sz="0" w:space="0" w:color="auto"/>
      </w:divBdr>
    </w:div>
    <w:div w:id="566766584">
      <w:bodyDiv w:val="1"/>
      <w:marLeft w:val="0"/>
      <w:marRight w:val="0"/>
      <w:marTop w:val="0"/>
      <w:marBottom w:val="0"/>
      <w:divBdr>
        <w:top w:val="none" w:sz="0" w:space="0" w:color="auto"/>
        <w:left w:val="none" w:sz="0" w:space="0" w:color="auto"/>
        <w:bottom w:val="none" w:sz="0" w:space="0" w:color="auto"/>
        <w:right w:val="none" w:sz="0" w:space="0" w:color="auto"/>
      </w:divBdr>
    </w:div>
    <w:div w:id="576593226">
      <w:bodyDiv w:val="1"/>
      <w:marLeft w:val="0"/>
      <w:marRight w:val="0"/>
      <w:marTop w:val="0"/>
      <w:marBottom w:val="0"/>
      <w:divBdr>
        <w:top w:val="none" w:sz="0" w:space="0" w:color="auto"/>
        <w:left w:val="none" w:sz="0" w:space="0" w:color="auto"/>
        <w:bottom w:val="none" w:sz="0" w:space="0" w:color="auto"/>
        <w:right w:val="none" w:sz="0" w:space="0" w:color="auto"/>
      </w:divBdr>
      <w:divsChild>
        <w:div w:id="826089395">
          <w:marLeft w:val="0"/>
          <w:marRight w:val="0"/>
          <w:marTop w:val="0"/>
          <w:marBottom w:val="0"/>
          <w:divBdr>
            <w:top w:val="none" w:sz="0" w:space="0" w:color="auto"/>
            <w:left w:val="none" w:sz="0" w:space="0" w:color="auto"/>
            <w:bottom w:val="none" w:sz="0" w:space="0" w:color="auto"/>
            <w:right w:val="none" w:sz="0" w:space="0" w:color="auto"/>
          </w:divBdr>
          <w:divsChild>
            <w:div w:id="593435301">
              <w:marLeft w:val="0"/>
              <w:marRight w:val="0"/>
              <w:marTop w:val="0"/>
              <w:marBottom w:val="0"/>
              <w:divBdr>
                <w:top w:val="none" w:sz="0" w:space="0" w:color="auto"/>
                <w:left w:val="none" w:sz="0" w:space="0" w:color="auto"/>
                <w:bottom w:val="none" w:sz="0" w:space="0" w:color="auto"/>
                <w:right w:val="none" w:sz="0" w:space="0" w:color="auto"/>
              </w:divBdr>
              <w:divsChild>
                <w:div w:id="285278442">
                  <w:marLeft w:val="0"/>
                  <w:marRight w:val="0"/>
                  <w:marTop w:val="0"/>
                  <w:marBottom w:val="0"/>
                  <w:divBdr>
                    <w:top w:val="none" w:sz="0" w:space="0" w:color="auto"/>
                    <w:left w:val="none" w:sz="0" w:space="0" w:color="auto"/>
                    <w:bottom w:val="none" w:sz="0" w:space="0" w:color="auto"/>
                    <w:right w:val="none" w:sz="0" w:space="0" w:color="auto"/>
                  </w:divBdr>
                  <w:divsChild>
                    <w:div w:id="20092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296869">
      <w:bodyDiv w:val="1"/>
      <w:marLeft w:val="0"/>
      <w:marRight w:val="0"/>
      <w:marTop w:val="0"/>
      <w:marBottom w:val="0"/>
      <w:divBdr>
        <w:top w:val="none" w:sz="0" w:space="0" w:color="auto"/>
        <w:left w:val="none" w:sz="0" w:space="0" w:color="auto"/>
        <w:bottom w:val="none" w:sz="0" w:space="0" w:color="auto"/>
        <w:right w:val="none" w:sz="0" w:space="0" w:color="auto"/>
      </w:divBdr>
    </w:div>
    <w:div w:id="590089601">
      <w:bodyDiv w:val="1"/>
      <w:marLeft w:val="0"/>
      <w:marRight w:val="0"/>
      <w:marTop w:val="0"/>
      <w:marBottom w:val="0"/>
      <w:divBdr>
        <w:top w:val="none" w:sz="0" w:space="0" w:color="auto"/>
        <w:left w:val="none" w:sz="0" w:space="0" w:color="auto"/>
        <w:bottom w:val="none" w:sz="0" w:space="0" w:color="auto"/>
        <w:right w:val="none" w:sz="0" w:space="0" w:color="auto"/>
      </w:divBdr>
    </w:div>
    <w:div w:id="594247308">
      <w:bodyDiv w:val="1"/>
      <w:marLeft w:val="0"/>
      <w:marRight w:val="0"/>
      <w:marTop w:val="0"/>
      <w:marBottom w:val="0"/>
      <w:divBdr>
        <w:top w:val="none" w:sz="0" w:space="0" w:color="auto"/>
        <w:left w:val="none" w:sz="0" w:space="0" w:color="auto"/>
        <w:bottom w:val="none" w:sz="0" w:space="0" w:color="auto"/>
        <w:right w:val="none" w:sz="0" w:space="0" w:color="auto"/>
      </w:divBdr>
    </w:div>
    <w:div w:id="595558030">
      <w:bodyDiv w:val="1"/>
      <w:marLeft w:val="0"/>
      <w:marRight w:val="0"/>
      <w:marTop w:val="0"/>
      <w:marBottom w:val="0"/>
      <w:divBdr>
        <w:top w:val="none" w:sz="0" w:space="0" w:color="auto"/>
        <w:left w:val="none" w:sz="0" w:space="0" w:color="auto"/>
        <w:bottom w:val="none" w:sz="0" w:space="0" w:color="auto"/>
        <w:right w:val="none" w:sz="0" w:space="0" w:color="auto"/>
      </w:divBdr>
    </w:div>
    <w:div w:id="601109547">
      <w:bodyDiv w:val="1"/>
      <w:marLeft w:val="0"/>
      <w:marRight w:val="0"/>
      <w:marTop w:val="0"/>
      <w:marBottom w:val="0"/>
      <w:divBdr>
        <w:top w:val="none" w:sz="0" w:space="0" w:color="auto"/>
        <w:left w:val="none" w:sz="0" w:space="0" w:color="auto"/>
        <w:bottom w:val="none" w:sz="0" w:space="0" w:color="auto"/>
        <w:right w:val="none" w:sz="0" w:space="0" w:color="auto"/>
      </w:divBdr>
    </w:div>
    <w:div w:id="607007363">
      <w:bodyDiv w:val="1"/>
      <w:marLeft w:val="0"/>
      <w:marRight w:val="0"/>
      <w:marTop w:val="0"/>
      <w:marBottom w:val="0"/>
      <w:divBdr>
        <w:top w:val="none" w:sz="0" w:space="0" w:color="auto"/>
        <w:left w:val="none" w:sz="0" w:space="0" w:color="auto"/>
        <w:bottom w:val="none" w:sz="0" w:space="0" w:color="auto"/>
        <w:right w:val="none" w:sz="0" w:space="0" w:color="auto"/>
      </w:divBdr>
    </w:div>
    <w:div w:id="618220807">
      <w:bodyDiv w:val="1"/>
      <w:marLeft w:val="0"/>
      <w:marRight w:val="0"/>
      <w:marTop w:val="0"/>
      <w:marBottom w:val="0"/>
      <w:divBdr>
        <w:top w:val="none" w:sz="0" w:space="0" w:color="auto"/>
        <w:left w:val="none" w:sz="0" w:space="0" w:color="auto"/>
        <w:bottom w:val="none" w:sz="0" w:space="0" w:color="auto"/>
        <w:right w:val="none" w:sz="0" w:space="0" w:color="auto"/>
      </w:divBdr>
    </w:div>
    <w:div w:id="619458294">
      <w:bodyDiv w:val="1"/>
      <w:marLeft w:val="0"/>
      <w:marRight w:val="0"/>
      <w:marTop w:val="0"/>
      <w:marBottom w:val="0"/>
      <w:divBdr>
        <w:top w:val="none" w:sz="0" w:space="0" w:color="auto"/>
        <w:left w:val="none" w:sz="0" w:space="0" w:color="auto"/>
        <w:bottom w:val="none" w:sz="0" w:space="0" w:color="auto"/>
        <w:right w:val="none" w:sz="0" w:space="0" w:color="auto"/>
      </w:divBdr>
      <w:divsChild>
        <w:div w:id="156036576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19648876">
      <w:bodyDiv w:val="1"/>
      <w:marLeft w:val="0"/>
      <w:marRight w:val="0"/>
      <w:marTop w:val="0"/>
      <w:marBottom w:val="0"/>
      <w:divBdr>
        <w:top w:val="none" w:sz="0" w:space="0" w:color="auto"/>
        <w:left w:val="none" w:sz="0" w:space="0" w:color="auto"/>
        <w:bottom w:val="none" w:sz="0" w:space="0" w:color="auto"/>
        <w:right w:val="none" w:sz="0" w:space="0" w:color="auto"/>
      </w:divBdr>
    </w:div>
    <w:div w:id="621300244">
      <w:bodyDiv w:val="1"/>
      <w:marLeft w:val="0"/>
      <w:marRight w:val="0"/>
      <w:marTop w:val="0"/>
      <w:marBottom w:val="0"/>
      <w:divBdr>
        <w:top w:val="none" w:sz="0" w:space="0" w:color="auto"/>
        <w:left w:val="none" w:sz="0" w:space="0" w:color="auto"/>
        <w:bottom w:val="none" w:sz="0" w:space="0" w:color="auto"/>
        <w:right w:val="none" w:sz="0" w:space="0" w:color="auto"/>
      </w:divBdr>
    </w:div>
    <w:div w:id="623463119">
      <w:bodyDiv w:val="1"/>
      <w:marLeft w:val="0"/>
      <w:marRight w:val="0"/>
      <w:marTop w:val="0"/>
      <w:marBottom w:val="0"/>
      <w:divBdr>
        <w:top w:val="none" w:sz="0" w:space="0" w:color="auto"/>
        <w:left w:val="none" w:sz="0" w:space="0" w:color="auto"/>
        <w:bottom w:val="none" w:sz="0" w:space="0" w:color="auto"/>
        <w:right w:val="none" w:sz="0" w:space="0" w:color="auto"/>
      </w:divBdr>
      <w:divsChild>
        <w:div w:id="935526598">
          <w:marLeft w:val="0"/>
          <w:marRight w:val="0"/>
          <w:marTop w:val="0"/>
          <w:marBottom w:val="0"/>
          <w:divBdr>
            <w:top w:val="none" w:sz="0" w:space="0" w:color="auto"/>
            <w:left w:val="none" w:sz="0" w:space="0" w:color="auto"/>
            <w:bottom w:val="none" w:sz="0" w:space="0" w:color="auto"/>
            <w:right w:val="none" w:sz="0" w:space="0" w:color="auto"/>
          </w:divBdr>
          <w:divsChild>
            <w:div w:id="1631547251">
              <w:marLeft w:val="0"/>
              <w:marRight w:val="0"/>
              <w:marTop w:val="0"/>
              <w:marBottom w:val="0"/>
              <w:divBdr>
                <w:top w:val="none" w:sz="0" w:space="0" w:color="auto"/>
                <w:left w:val="none" w:sz="0" w:space="0" w:color="auto"/>
                <w:bottom w:val="none" w:sz="0" w:space="0" w:color="auto"/>
                <w:right w:val="none" w:sz="0" w:space="0" w:color="auto"/>
              </w:divBdr>
              <w:divsChild>
                <w:div w:id="4168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744143">
      <w:bodyDiv w:val="1"/>
      <w:marLeft w:val="0"/>
      <w:marRight w:val="0"/>
      <w:marTop w:val="0"/>
      <w:marBottom w:val="0"/>
      <w:divBdr>
        <w:top w:val="none" w:sz="0" w:space="0" w:color="auto"/>
        <w:left w:val="none" w:sz="0" w:space="0" w:color="auto"/>
        <w:bottom w:val="none" w:sz="0" w:space="0" w:color="auto"/>
        <w:right w:val="none" w:sz="0" w:space="0" w:color="auto"/>
      </w:divBdr>
    </w:div>
    <w:div w:id="628705064">
      <w:bodyDiv w:val="1"/>
      <w:marLeft w:val="0"/>
      <w:marRight w:val="0"/>
      <w:marTop w:val="0"/>
      <w:marBottom w:val="0"/>
      <w:divBdr>
        <w:top w:val="none" w:sz="0" w:space="0" w:color="auto"/>
        <w:left w:val="none" w:sz="0" w:space="0" w:color="auto"/>
        <w:bottom w:val="none" w:sz="0" w:space="0" w:color="auto"/>
        <w:right w:val="none" w:sz="0" w:space="0" w:color="auto"/>
      </w:divBdr>
    </w:div>
    <w:div w:id="629821735">
      <w:bodyDiv w:val="1"/>
      <w:marLeft w:val="0"/>
      <w:marRight w:val="0"/>
      <w:marTop w:val="0"/>
      <w:marBottom w:val="0"/>
      <w:divBdr>
        <w:top w:val="none" w:sz="0" w:space="0" w:color="auto"/>
        <w:left w:val="none" w:sz="0" w:space="0" w:color="auto"/>
        <w:bottom w:val="none" w:sz="0" w:space="0" w:color="auto"/>
        <w:right w:val="none" w:sz="0" w:space="0" w:color="auto"/>
      </w:divBdr>
    </w:div>
    <w:div w:id="635987754">
      <w:bodyDiv w:val="1"/>
      <w:marLeft w:val="0"/>
      <w:marRight w:val="0"/>
      <w:marTop w:val="0"/>
      <w:marBottom w:val="0"/>
      <w:divBdr>
        <w:top w:val="none" w:sz="0" w:space="0" w:color="auto"/>
        <w:left w:val="none" w:sz="0" w:space="0" w:color="auto"/>
        <w:bottom w:val="none" w:sz="0" w:space="0" w:color="auto"/>
        <w:right w:val="none" w:sz="0" w:space="0" w:color="auto"/>
      </w:divBdr>
      <w:divsChild>
        <w:div w:id="639772702">
          <w:marLeft w:val="0"/>
          <w:marRight w:val="0"/>
          <w:marTop w:val="0"/>
          <w:marBottom w:val="0"/>
          <w:divBdr>
            <w:top w:val="none" w:sz="0" w:space="0" w:color="auto"/>
            <w:left w:val="none" w:sz="0" w:space="0" w:color="auto"/>
            <w:bottom w:val="none" w:sz="0" w:space="0" w:color="auto"/>
            <w:right w:val="none" w:sz="0" w:space="0" w:color="auto"/>
          </w:divBdr>
          <w:divsChild>
            <w:div w:id="1700817868">
              <w:marLeft w:val="0"/>
              <w:marRight w:val="0"/>
              <w:marTop w:val="0"/>
              <w:marBottom w:val="0"/>
              <w:divBdr>
                <w:top w:val="none" w:sz="0" w:space="0" w:color="auto"/>
                <w:left w:val="none" w:sz="0" w:space="0" w:color="auto"/>
                <w:bottom w:val="none" w:sz="0" w:space="0" w:color="auto"/>
                <w:right w:val="none" w:sz="0" w:space="0" w:color="auto"/>
              </w:divBdr>
              <w:divsChild>
                <w:div w:id="54506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070682">
      <w:bodyDiv w:val="1"/>
      <w:marLeft w:val="0"/>
      <w:marRight w:val="0"/>
      <w:marTop w:val="0"/>
      <w:marBottom w:val="0"/>
      <w:divBdr>
        <w:top w:val="none" w:sz="0" w:space="0" w:color="auto"/>
        <w:left w:val="none" w:sz="0" w:space="0" w:color="auto"/>
        <w:bottom w:val="none" w:sz="0" w:space="0" w:color="auto"/>
        <w:right w:val="none" w:sz="0" w:space="0" w:color="auto"/>
      </w:divBdr>
    </w:div>
    <w:div w:id="653802171">
      <w:bodyDiv w:val="1"/>
      <w:marLeft w:val="0"/>
      <w:marRight w:val="0"/>
      <w:marTop w:val="0"/>
      <w:marBottom w:val="0"/>
      <w:divBdr>
        <w:top w:val="none" w:sz="0" w:space="0" w:color="auto"/>
        <w:left w:val="none" w:sz="0" w:space="0" w:color="auto"/>
        <w:bottom w:val="none" w:sz="0" w:space="0" w:color="auto"/>
        <w:right w:val="none" w:sz="0" w:space="0" w:color="auto"/>
      </w:divBdr>
    </w:div>
    <w:div w:id="660546094">
      <w:bodyDiv w:val="1"/>
      <w:marLeft w:val="0"/>
      <w:marRight w:val="0"/>
      <w:marTop w:val="0"/>
      <w:marBottom w:val="0"/>
      <w:divBdr>
        <w:top w:val="none" w:sz="0" w:space="0" w:color="auto"/>
        <w:left w:val="none" w:sz="0" w:space="0" w:color="auto"/>
        <w:bottom w:val="none" w:sz="0" w:space="0" w:color="auto"/>
        <w:right w:val="none" w:sz="0" w:space="0" w:color="auto"/>
      </w:divBdr>
    </w:div>
    <w:div w:id="679162265">
      <w:bodyDiv w:val="1"/>
      <w:marLeft w:val="0"/>
      <w:marRight w:val="0"/>
      <w:marTop w:val="0"/>
      <w:marBottom w:val="0"/>
      <w:divBdr>
        <w:top w:val="none" w:sz="0" w:space="0" w:color="auto"/>
        <w:left w:val="none" w:sz="0" w:space="0" w:color="auto"/>
        <w:bottom w:val="none" w:sz="0" w:space="0" w:color="auto"/>
        <w:right w:val="none" w:sz="0" w:space="0" w:color="auto"/>
      </w:divBdr>
    </w:div>
    <w:div w:id="688219542">
      <w:bodyDiv w:val="1"/>
      <w:marLeft w:val="0"/>
      <w:marRight w:val="0"/>
      <w:marTop w:val="0"/>
      <w:marBottom w:val="0"/>
      <w:divBdr>
        <w:top w:val="none" w:sz="0" w:space="0" w:color="auto"/>
        <w:left w:val="none" w:sz="0" w:space="0" w:color="auto"/>
        <w:bottom w:val="none" w:sz="0" w:space="0" w:color="auto"/>
        <w:right w:val="none" w:sz="0" w:space="0" w:color="auto"/>
      </w:divBdr>
      <w:divsChild>
        <w:div w:id="322706708">
          <w:marLeft w:val="0"/>
          <w:marRight w:val="0"/>
          <w:marTop w:val="0"/>
          <w:marBottom w:val="0"/>
          <w:divBdr>
            <w:top w:val="none" w:sz="0" w:space="0" w:color="auto"/>
            <w:left w:val="none" w:sz="0" w:space="0" w:color="auto"/>
            <w:bottom w:val="none" w:sz="0" w:space="0" w:color="auto"/>
            <w:right w:val="none" w:sz="0" w:space="0" w:color="auto"/>
          </w:divBdr>
          <w:divsChild>
            <w:div w:id="890534330">
              <w:marLeft w:val="0"/>
              <w:marRight w:val="0"/>
              <w:marTop w:val="0"/>
              <w:marBottom w:val="0"/>
              <w:divBdr>
                <w:top w:val="none" w:sz="0" w:space="0" w:color="auto"/>
                <w:left w:val="none" w:sz="0" w:space="0" w:color="auto"/>
                <w:bottom w:val="none" w:sz="0" w:space="0" w:color="auto"/>
                <w:right w:val="none" w:sz="0" w:space="0" w:color="auto"/>
              </w:divBdr>
              <w:divsChild>
                <w:div w:id="28812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259440">
      <w:bodyDiv w:val="1"/>
      <w:marLeft w:val="0"/>
      <w:marRight w:val="0"/>
      <w:marTop w:val="0"/>
      <w:marBottom w:val="0"/>
      <w:divBdr>
        <w:top w:val="none" w:sz="0" w:space="0" w:color="auto"/>
        <w:left w:val="none" w:sz="0" w:space="0" w:color="auto"/>
        <w:bottom w:val="none" w:sz="0" w:space="0" w:color="auto"/>
        <w:right w:val="none" w:sz="0" w:space="0" w:color="auto"/>
      </w:divBdr>
    </w:div>
    <w:div w:id="695469451">
      <w:bodyDiv w:val="1"/>
      <w:marLeft w:val="0"/>
      <w:marRight w:val="0"/>
      <w:marTop w:val="0"/>
      <w:marBottom w:val="0"/>
      <w:divBdr>
        <w:top w:val="none" w:sz="0" w:space="0" w:color="auto"/>
        <w:left w:val="none" w:sz="0" w:space="0" w:color="auto"/>
        <w:bottom w:val="none" w:sz="0" w:space="0" w:color="auto"/>
        <w:right w:val="none" w:sz="0" w:space="0" w:color="auto"/>
      </w:divBdr>
    </w:div>
    <w:div w:id="706292226">
      <w:bodyDiv w:val="1"/>
      <w:marLeft w:val="0"/>
      <w:marRight w:val="0"/>
      <w:marTop w:val="0"/>
      <w:marBottom w:val="0"/>
      <w:divBdr>
        <w:top w:val="none" w:sz="0" w:space="0" w:color="auto"/>
        <w:left w:val="none" w:sz="0" w:space="0" w:color="auto"/>
        <w:bottom w:val="none" w:sz="0" w:space="0" w:color="auto"/>
        <w:right w:val="none" w:sz="0" w:space="0" w:color="auto"/>
      </w:divBdr>
    </w:div>
    <w:div w:id="710111099">
      <w:bodyDiv w:val="1"/>
      <w:marLeft w:val="0"/>
      <w:marRight w:val="0"/>
      <w:marTop w:val="0"/>
      <w:marBottom w:val="0"/>
      <w:divBdr>
        <w:top w:val="none" w:sz="0" w:space="0" w:color="auto"/>
        <w:left w:val="none" w:sz="0" w:space="0" w:color="auto"/>
        <w:bottom w:val="none" w:sz="0" w:space="0" w:color="auto"/>
        <w:right w:val="none" w:sz="0" w:space="0" w:color="auto"/>
      </w:divBdr>
    </w:div>
    <w:div w:id="712385771">
      <w:bodyDiv w:val="1"/>
      <w:marLeft w:val="0"/>
      <w:marRight w:val="0"/>
      <w:marTop w:val="0"/>
      <w:marBottom w:val="0"/>
      <w:divBdr>
        <w:top w:val="none" w:sz="0" w:space="0" w:color="auto"/>
        <w:left w:val="none" w:sz="0" w:space="0" w:color="auto"/>
        <w:bottom w:val="none" w:sz="0" w:space="0" w:color="auto"/>
        <w:right w:val="none" w:sz="0" w:space="0" w:color="auto"/>
      </w:divBdr>
      <w:divsChild>
        <w:div w:id="1963490627">
          <w:marLeft w:val="0"/>
          <w:marRight w:val="0"/>
          <w:marTop w:val="0"/>
          <w:marBottom w:val="0"/>
          <w:divBdr>
            <w:top w:val="none" w:sz="0" w:space="0" w:color="auto"/>
            <w:left w:val="none" w:sz="0" w:space="0" w:color="auto"/>
            <w:bottom w:val="none" w:sz="0" w:space="0" w:color="auto"/>
            <w:right w:val="none" w:sz="0" w:space="0" w:color="auto"/>
          </w:divBdr>
          <w:divsChild>
            <w:div w:id="2063364574">
              <w:marLeft w:val="0"/>
              <w:marRight w:val="0"/>
              <w:marTop w:val="0"/>
              <w:marBottom w:val="0"/>
              <w:divBdr>
                <w:top w:val="none" w:sz="0" w:space="0" w:color="auto"/>
                <w:left w:val="none" w:sz="0" w:space="0" w:color="auto"/>
                <w:bottom w:val="none" w:sz="0" w:space="0" w:color="auto"/>
                <w:right w:val="none" w:sz="0" w:space="0" w:color="auto"/>
              </w:divBdr>
              <w:divsChild>
                <w:div w:id="559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8584">
      <w:bodyDiv w:val="1"/>
      <w:marLeft w:val="0"/>
      <w:marRight w:val="0"/>
      <w:marTop w:val="0"/>
      <w:marBottom w:val="0"/>
      <w:divBdr>
        <w:top w:val="none" w:sz="0" w:space="0" w:color="auto"/>
        <w:left w:val="none" w:sz="0" w:space="0" w:color="auto"/>
        <w:bottom w:val="none" w:sz="0" w:space="0" w:color="auto"/>
        <w:right w:val="none" w:sz="0" w:space="0" w:color="auto"/>
      </w:divBdr>
    </w:div>
    <w:div w:id="720593377">
      <w:bodyDiv w:val="1"/>
      <w:marLeft w:val="0"/>
      <w:marRight w:val="0"/>
      <w:marTop w:val="0"/>
      <w:marBottom w:val="0"/>
      <w:divBdr>
        <w:top w:val="none" w:sz="0" w:space="0" w:color="auto"/>
        <w:left w:val="none" w:sz="0" w:space="0" w:color="auto"/>
        <w:bottom w:val="none" w:sz="0" w:space="0" w:color="auto"/>
        <w:right w:val="none" w:sz="0" w:space="0" w:color="auto"/>
      </w:divBdr>
      <w:divsChild>
        <w:div w:id="1337421422">
          <w:marLeft w:val="0"/>
          <w:marRight w:val="0"/>
          <w:marTop w:val="0"/>
          <w:marBottom w:val="0"/>
          <w:divBdr>
            <w:top w:val="none" w:sz="0" w:space="0" w:color="auto"/>
            <w:left w:val="none" w:sz="0" w:space="0" w:color="auto"/>
            <w:bottom w:val="none" w:sz="0" w:space="0" w:color="auto"/>
            <w:right w:val="none" w:sz="0" w:space="0" w:color="auto"/>
          </w:divBdr>
        </w:div>
      </w:divsChild>
    </w:div>
    <w:div w:id="724597193">
      <w:bodyDiv w:val="1"/>
      <w:marLeft w:val="0"/>
      <w:marRight w:val="0"/>
      <w:marTop w:val="0"/>
      <w:marBottom w:val="0"/>
      <w:divBdr>
        <w:top w:val="none" w:sz="0" w:space="0" w:color="auto"/>
        <w:left w:val="none" w:sz="0" w:space="0" w:color="auto"/>
        <w:bottom w:val="none" w:sz="0" w:space="0" w:color="auto"/>
        <w:right w:val="none" w:sz="0" w:space="0" w:color="auto"/>
      </w:divBdr>
    </w:div>
    <w:div w:id="724790781">
      <w:bodyDiv w:val="1"/>
      <w:marLeft w:val="0"/>
      <w:marRight w:val="0"/>
      <w:marTop w:val="0"/>
      <w:marBottom w:val="0"/>
      <w:divBdr>
        <w:top w:val="none" w:sz="0" w:space="0" w:color="auto"/>
        <w:left w:val="none" w:sz="0" w:space="0" w:color="auto"/>
        <w:bottom w:val="none" w:sz="0" w:space="0" w:color="auto"/>
        <w:right w:val="none" w:sz="0" w:space="0" w:color="auto"/>
      </w:divBdr>
    </w:div>
    <w:div w:id="726682303">
      <w:bodyDiv w:val="1"/>
      <w:marLeft w:val="0"/>
      <w:marRight w:val="0"/>
      <w:marTop w:val="0"/>
      <w:marBottom w:val="0"/>
      <w:divBdr>
        <w:top w:val="none" w:sz="0" w:space="0" w:color="auto"/>
        <w:left w:val="none" w:sz="0" w:space="0" w:color="auto"/>
        <w:bottom w:val="none" w:sz="0" w:space="0" w:color="auto"/>
        <w:right w:val="none" w:sz="0" w:space="0" w:color="auto"/>
      </w:divBdr>
    </w:div>
    <w:div w:id="733967905">
      <w:bodyDiv w:val="1"/>
      <w:marLeft w:val="0"/>
      <w:marRight w:val="0"/>
      <w:marTop w:val="0"/>
      <w:marBottom w:val="0"/>
      <w:divBdr>
        <w:top w:val="none" w:sz="0" w:space="0" w:color="auto"/>
        <w:left w:val="none" w:sz="0" w:space="0" w:color="auto"/>
        <w:bottom w:val="none" w:sz="0" w:space="0" w:color="auto"/>
        <w:right w:val="none" w:sz="0" w:space="0" w:color="auto"/>
      </w:divBdr>
    </w:div>
    <w:div w:id="738553740">
      <w:bodyDiv w:val="1"/>
      <w:marLeft w:val="0"/>
      <w:marRight w:val="0"/>
      <w:marTop w:val="0"/>
      <w:marBottom w:val="0"/>
      <w:divBdr>
        <w:top w:val="none" w:sz="0" w:space="0" w:color="auto"/>
        <w:left w:val="none" w:sz="0" w:space="0" w:color="auto"/>
        <w:bottom w:val="none" w:sz="0" w:space="0" w:color="auto"/>
        <w:right w:val="none" w:sz="0" w:space="0" w:color="auto"/>
      </w:divBdr>
    </w:div>
    <w:div w:id="741487451">
      <w:bodyDiv w:val="1"/>
      <w:marLeft w:val="0"/>
      <w:marRight w:val="0"/>
      <w:marTop w:val="0"/>
      <w:marBottom w:val="0"/>
      <w:divBdr>
        <w:top w:val="none" w:sz="0" w:space="0" w:color="auto"/>
        <w:left w:val="none" w:sz="0" w:space="0" w:color="auto"/>
        <w:bottom w:val="none" w:sz="0" w:space="0" w:color="auto"/>
        <w:right w:val="none" w:sz="0" w:space="0" w:color="auto"/>
      </w:divBdr>
    </w:div>
    <w:div w:id="744767380">
      <w:bodyDiv w:val="1"/>
      <w:marLeft w:val="0"/>
      <w:marRight w:val="0"/>
      <w:marTop w:val="0"/>
      <w:marBottom w:val="0"/>
      <w:divBdr>
        <w:top w:val="none" w:sz="0" w:space="0" w:color="auto"/>
        <w:left w:val="none" w:sz="0" w:space="0" w:color="auto"/>
        <w:bottom w:val="none" w:sz="0" w:space="0" w:color="auto"/>
        <w:right w:val="none" w:sz="0" w:space="0" w:color="auto"/>
      </w:divBdr>
      <w:divsChild>
        <w:div w:id="984821931">
          <w:marLeft w:val="0"/>
          <w:marRight w:val="0"/>
          <w:marTop w:val="0"/>
          <w:marBottom w:val="0"/>
          <w:divBdr>
            <w:top w:val="none" w:sz="0" w:space="0" w:color="auto"/>
            <w:left w:val="none" w:sz="0" w:space="0" w:color="auto"/>
            <w:bottom w:val="none" w:sz="0" w:space="0" w:color="auto"/>
            <w:right w:val="none" w:sz="0" w:space="0" w:color="auto"/>
          </w:divBdr>
          <w:divsChild>
            <w:div w:id="682972925">
              <w:marLeft w:val="0"/>
              <w:marRight w:val="0"/>
              <w:marTop w:val="0"/>
              <w:marBottom w:val="0"/>
              <w:divBdr>
                <w:top w:val="none" w:sz="0" w:space="0" w:color="auto"/>
                <w:left w:val="none" w:sz="0" w:space="0" w:color="auto"/>
                <w:bottom w:val="none" w:sz="0" w:space="0" w:color="auto"/>
                <w:right w:val="none" w:sz="0" w:space="0" w:color="auto"/>
              </w:divBdr>
              <w:divsChild>
                <w:div w:id="6344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78055">
      <w:bodyDiv w:val="1"/>
      <w:marLeft w:val="0"/>
      <w:marRight w:val="0"/>
      <w:marTop w:val="0"/>
      <w:marBottom w:val="0"/>
      <w:divBdr>
        <w:top w:val="none" w:sz="0" w:space="0" w:color="auto"/>
        <w:left w:val="none" w:sz="0" w:space="0" w:color="auto"/>
        <w:bottom w:val="none" w:sz="0" w:space="0" w:color="auto"/>
        <w:right w:val="none" w:sz="0" w:space="0" w:color="auto"/>
      </w:divBdr>
      <w:divsChild>
        <w:div w:id="1476948844">
          <w:marLeft w:val="0"/>
          <w:marRight w:val="0"/>
          <w:marTop w:val="0"/>
          <w:marBottom w:val="0"/>
          <w:divBdr>
            <w:top w:val="none" w:sz="0" w:space="0" w:color="auto"/>
            <w:left w:val="none" w:sz="0" w:space="0" w:color="auto"/>
            <w:bottom w:val="none" w:sz="0" w:space="0" w:color="auto"/>
            <w:right w:val="none" w:sz="0" w:space="0" w:color="auto"/>
          </w:divBdr>
          <w:divsChild>
            <w:div w:id="1361935074">
              <w:marLeft w:val="0"/>
              <w:marRight w:val="0"/>
              <w:marTop w:val="0"/>
              <w:marBottom w:val="0"/>
              <w:divBdr>
                <w:top w:val="none" w:sz="0" w:space="0" w:color="auto"/>
                <w:left w:val="none" w:sz="0" w:space="0" w:color="auto"/>
                <w:bottom w:val="none" w:sz="0" w:space="0" w:color="auto"/>
                <w:right w:val="none" w:sz="0" w:space="0" w:color="auto"/>
              </w:divBdr>
              <w:divsChild>
                <w:div w:id="2022589480">
                  <w:marLeft w:val="0"/>
                  <w:marRight w:val="0"/>
                  <w:marTop w:val="0"/>
                  <w:marBottom w:val="0"/>
                  <w:divBdr>
                    <w:top w:val="none" w:sz="0" w:space="0" w:color="auto"/>
                    <w:left w:val="none" w:sz="0" w:space="0" w:color="auto"/>
                    <w:bottom w:val="none" w:sz="0" w:space="0" w:color="auto"/>
                    <w:right w:val="none" w:sz="0" w:space="0" w:color="auto"/>
                  </w:divBdr>
                  <w:divsChild>
                    <w:div w:id="75420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129125">
      <w:bodyDiv w:val="1"/>
      <w:marLeft w:val="0"/>
      <w:marRight w:val="0"/>
      <w:marTop w:val="0"/>
      <w:marBottom w:val="0"/>
      <w:divBdr>
        <w:top w:val="none" w:sz="0" w:space="0" w:color="auto"/>
        <w:left w:val="none" w:sz="0" w:space="0" w:color="auto"/>
        <w:bottom w:val="none" w:sz="0" w:space="0" w:color="auto"/>
        <w:right w:val="none" w:sz="0" w:space="0" w:color="auto"/>
      </w:divBdr>
    </w:div>
    <w:div w:id="751439859">
      <w:bodyDiv w:val="1"/>
      <w:marLeft w:val="0"/>
      <w:marRight w:val="0"/>
      <w:marTop w:val="0"/>
      <w:marBottom w:val="0"/>
      <w:divBdr>
        <w:top w:val="none" w:sz="0" w:space="0" w:color="auto"/>
        <w:left w:val="none" w:sz="0" w:space="0" w:color="auto"/>
        <w:bottom w:val="none" w:sz="0" w:space="0" w:color="auto"/>
        <w:right w:val="none" w:sz="0" w:space="0" w:color="auto"/>
      </w:divBdr>
      <w:divsChild>
        <w:div w:id="521170843">
          <w:marLeft w:val="0"/>
          <w:marRight w:val="0"/>
          <w:marTop w:val="0"/>
          <w:marBottom w:val="0"/>
          <w:divBdr>
            <w:top w:val="none" w:sz="0" w:space="0" w:color="auto"/>
            <w:left w:val="none" w:sz="0" w:space="0" w:color="auto"/>
            <w:bottom w:val="none" w:sz="0" w:space="0" w:color="auto"/>
            <w:right w:val="none" w:sz="0" w:space="0" w:color="auto"/>
          </w:divBdr>
          <w:divsChild>
            <w:div w:id="8690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1508">
      <w:bodyDiv w:val="1"/>
      <w:marLeft w:val="0"/>
      <w:marRight w:val="0"/>
      <w:marTop w:val="0"/>
      <w:marBottom w:val="0"/>
      <w:divBdr>
        <w:top w:val="none" w:sz="0" w:space="0" w:color="auto"/>
        <w:left w:val="none" w:sz="0" w:space="0" w:color="auto"/>
        <w:bottom w:val="none" w:sz="0" w:space="0" w:color="auto"/>
        <w:right w:val="none" w:sz="0" w:space="0" w:color="auto"/>
      </w:divBdr>
    </w:div>
    <w:div w:id="755977955">
      <w:bodyDiv w:val="1"/>
      <w:marLeft w:val="0"/>
      <w:marRight w:val="0"/>
      <w:marTop w:val="0"/>
      <w:marBottom w:val="0"/>
      <w:divBdr>
        <w:top w:val="none" w:sz="0" w:space="0" w:color="auto"/>
        <w:left w:val="none" w:sz="0" w:space="0" w:color="auto"/>
        <w:bottom w:val="none" w:sz="0" w:space="0" w:color="auto"/>
        <w:right w:val="none" w:sz="0" w:space="0" w:color="auto"/>
      </w:divBdr>
    </w:div>
    <w:div w:id="759450145">
      <w:bodyDiv w:val="1"/>
      <w:marLeft w:val="0"/>
      <w:marRight w:val="0"/>
      <w:marTop w:val="0"/>
      <w:marBottom w:val="0"/>
      <w:divBdr>
        <w:top w:val="none" w:sz="0" w:space="0" w:color="auto"/>
        <w:left w:val="none" w:sz="0" w:space="0" w:color="auto"/>
        <w:bottom w:val="none" w:sz="0" w:space="0" w:color="auto"/>
        <w:right w:val="none" w:sz="0" w:space="0" w:color="auto"/>
      </w:divBdr>
      <w:divsChild>
        <w:div w:id="23601434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760415551">
      <w:bodyDiv w:val="1"/>
      <w:marLeft w:val="0"/>
      <w:marRight w:val="0"/>
      <w:marTop w:val="0"/>
      <w:marBottom w:val="0"/>
      <w:divBdr>
        <w:top w:val="none" w:sz="0" w:space="0" w:color="auto"/>
        <w:left w:val="none" w:sz="0" w:space="0" w:color="auto"/>
        <w:bottom w:val="none" w:sz="0" w:space="0" w:color="auto"/>
        <w:right w:val="none" w:sz="0" w:space="0" w:color="auto"/>
      </w:divBdr>
      <w:divsChild>
        <w:div w:id="1397972679">
          <w:marLeft w:val="0"/>
          <w:marRight w:val="0"/>
          <w:marTop w:val="0"/>
          <w:marBottom w:val="0"/>
          <w:divBdr>
            <w:top w:val="none" w:sz="0" w:space="0" w:color="auto"/>
            <w:left w:val="none" w:sz="0" w:space="0" w:color="auto"/>
            <w:bottom w:val="none" w:sz="0" w:space="0" w:color="auto"/>
            <w:right w:val="none" w:sz="0" w:space="0" w:color="auto"/>
          </w:divBdr>
          <w:divsChild>
            <w:div w:id="901328344">
              <w:marLeft w:val="0"/>
              <w:marRight w:val="0"/>
              <w:marTop w:val="0"/>
              <w:marBottom w:val="0"/>
              <w:divBdr>
                <w:top w:val="none" w:sz="0" w:space="0" w:color="auto"/>
                <w:left w:val="none" w:sz="0" w:space="0" w:color="auto"/>
                <w:bottom w:val="none" w:sz="0" w:space="0" w:color="auto"/>
                <w:right w:val="none" w:sz="0" w:space="0" w:color="auto"/>
              </w:divBdr>
              <w:divsChild>
                <w:div w:id="90630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20329">
      <w:bodyDiv w:val="1"/>
      <w:marLeft w:val="0"/>
      <w:marRight w:val="0"/>
      <w:marTop w:val="0"/>
      <w:marBottom w:val="0"/>
      <w:divBdr>
        <w:top w:val="none" w:sz="0" w:space="0" w:color="auto"/>
        <w:left w:val="none" w:sz="0" w:space="0" w:color="auto"/>
        <w:bottom w:val="none" w:sz="0" w:space="0" w:color="auto"/>
        <w:right w:val="none" w:sz="0" w:space="0" w:color="auto"/>
      </w:divBdr>
    </w:div>
    <w:div w:id="783692544">
      <w:bodyDiv w:val="1"/>
      <w:marLeft w:val="0"/>
      <w:marRight w:val="0"/>
      <w:marTop w:val="0"/>
      <w:marBottom w:val="0"/>
      <w:divBdr>
        <w:top w:val="none" w:sz="0" w:space="0" w:color="auto"/>
        <w:left w:val="none" w:sz="0" w:space="0" w:color="auto"/>
        <w:bottom w:val="none" w:sz="0" w:space="0" w:color="auto"/>
        <w:right w:val="none" w:sz="0" w:space="0" w:color="auto"/>
      </w:divBdr>
    </w:div>
    <w:div w:id="784425513">
      <w:bodyDiv w:val="1"/>
      <w:marLeft w:val="0"/>
      <w:marRight w:val="0"/>
      <w:marTop w:val="0"/>
      <w:marBottom w:val="0"/>
      <w:divBdr>
        <w:top w:val="none" w:sz="0" w:space="0" w:color="auto"/>
        <w:left w:val="none" w:sz="0" w:space="0" w:color="auto"/>
        <w:bottom w:val="none" w:sz="0" w:space="0" w:color="auto"/>
        <w:right w:val="none" w:sz="0" w:space="0" w:color="auto"/>
      </w:divBdr>
    </w:div>
    <w:div w:id="789276466">
      <w:bodyDiv w:val="1"/>
      <w:marLeft w:val="0"/>
      <w:marRight w:val="0"/>
      <w:marTop w:val="0"/>
      <w:marBottom w:val="0"/>
      <w:divBdr>
        <w:top w:val="none" w:sz="0" w:space="0" w:color="auto"/>
        <w:left w:val="none" w:sz="0" w:space="0" w:color="auto"/>
        <w:bottom w:val="none" w:sz="0" w:space="0" w:color="auto"/>
        <w:right w:val="none" w:sz="0" w:space="0" w:color="auto"/>
      </w:divBdr>
      <w:divsChild>
        <w:div w:id="1220090693">
          <w:marLeft w:val="0"/>
          <w:marRight w:val="0"/>
          <w:marTop w:val="0"/>
          <w:marBottom w:val="0"/>
          <w:divBdr>
            <w:top w:val="none" w:sz="0" w:space="0" w:color="auto"/>
            <w:left w:val="none" w:sz="0" w:space="0" w:color="auto"/>
            <w:bottom w:val="none" w:sz="0" w:space="0" w:color="auto"/>
            <w:right w:val="none" w:sz="0" w:space="0" w:color="auto"/>
          </w:divBdr>
          <w:divsChild>
            <w:div w:id="1561136591">
              <w:marLeft w:val="0"/>
              <w:marRight w:val="0"/>
              <w:marTop w:val="0"/>
              <w:marBottom w:val="0"/>
              <w:divBdr>
                <w:top w:val="none" w:sz="0" w:space="0" w:color="auto"/>
                <w:left w:val="none" w:sz="0" w:space="0" w:color="auto"/>
                <w:bottom w:val="none" w:sz="0" w:space="0" w:color="auto"/>
                <w:right w:val="none" w:sz="0" w:space="0" w:color="auto"/>
              </w:divBdr>
              <w:divsChild>
                <w:div w:id="59972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23198">
      <w:bodyDiv w:val="1"/>
      <w:marLeft w:val="0"/>
      <w:marRight w:val="0"/>
      <w:marTop w:val="0"/>
      <w:marBottom w:val="0"/>
      <w:divBdr>
        <w:top w:val="none" w:sz="0" w:space="0" w:color="auto"/>
        <w:left w:val="none" w:sz="0" w:space="0" w:color="auto"/>
        <w:bottom w:val="none" w:sz="0" w:space="0" w:color="auto"/>
        <w:right w:val="none" w:sz="0" w:space="0" w:color="auto"/>
      </w:divBdr>
    </w:div>
    <w:div w:id="797727680">
      <w:bodyDiv w:val="1"/>
      <w:marLeft w:val="0"/>
      <w:marRight w:val="0"/>
      <w:marTop w:val="0"/>
      <w:marBottom w:val="0"/>
      <w:divBdr>
        <w:top w:val="none" w:sz="0" w:space="0" w:color="auto"/>
        <w:left w:val="none" w:sz="0" w:space="0" w:color="auto"/>
        <w:bottom w:val="none" w:sz="0" w:space="0" w:color="auto"/>
        <w:right w:val="none" w:sz="0" w:space="0" w:color="auto"/>
      </w:divBdr>
    </w:div>
    <w:div w:id="804007651">
      <w:bodyDiv w:val="1"/>
      <w:marLeft w:val="0"/>
      <w:marRight w:val="0"/>
      <w:marTop w:val="0"/>
      <w:marBottom w:val="0"/>
      <w:divBdr>
        <w:top w:val="none" w:sz="0" w:space="0" w:color="auto"/>
        <w:left w:val="none" w:sz="0" w:space="0" w:color="auto"/>
        <w:bottom w:val="none" w:sz="0" w:space="0" w:color="auto"/>
        <w:right w:val="none" w:sz="0" w:space="0" w:color="auto"/>
      </w:divBdr>
    </w:div>
    <w:div w:id="804085391">
      <w:bodyDiv w:val="1"/>
      <w:marLeft w:val="0"/>
      <w:marRight w:val="0"/>
      <w:marTop w:val="0"/>
      <w:marBottom w:val="0"/>
      <w:divBdr>
        <w:top w:val="none" w:sz="0" w:space="0" w:color="auto"/>
        <w:left w:val="none" w:sz="0" w:space="0" w:color="auto"/>
        <w:bottom w:val="none" w:sz="0" w:space="0" w:color="auto"/>
        <w:right w:val="none" w:sz="0" w:space="0" w:color="auto"/>
      </w:divBdr>
    </w:div>
    <w:div w:id="808742413">
      <w:bodyDiv w:val="1"/>
      <w:marLeft w:val="0"/>
      <w:marRight w:val="0"/>
      <w:marTop w:val="0"/>
      <w:marBottom w:val="0"/>
      <w:divBdr>
        <w:top w:val="none" w:sz="0" w:space="0" w:color="auto"/>
        <w:left w:val="none" w:sz="0" w:space="0" w:color="auto"/>
        <w:bottom w:val="none" w:sz="0" w:space="0" w:color="auto"/>
        <w:right w:val="none" w:sz="0" w:space="0" w:color="auto"/>
      </w:divBdr>
    </w:div>
    <w:div w:id="815802746">
      <w:bodyDiv w:val="1"/>
      <w:marLeft w:val="0"/>
      <w:marRight w:val="0"/>
      <w:marTop w:val="0"/>
      <w:marBottom w:val="0"/>
      <w:divBdr>
        <w:top w:val="none" w:sz="0" w:space="0" w:color="auto"/>
        <w:left w:val="none" w:sz="0" w:space="0" w:color="auto"/>
        <w:bottom w:val="none" w:sz="0" w:space="0" w:color="auto"/>
        <w:right w:val="none" w:sz="0" w:space="0" w:color="auto"/>
      </w:divBdr>
    </w:div>
    <w:div w:id="816259401">
      <w:bodyDiv w:val="1"/>
      <w:marLeft w:val="0"/>
      <w:marRight w:val="0"/>
      <w:marTop w:val="0"/>
      <w:marBottom w:val="0"/>
      <w:divBdr>
        <w:top w:val="none" w:sz="0" w:space="0" w:color="auto"/>
        <w:left w:val="none" w:sz="0" w:space="0" w:color="auto"/>
        <w:bottom w:val="none" w:sz="0" w:space="0" w:color="auto"/>
        <w:right w:val="none" w:sz="0" w:space="0" w:color="auto"/>
      </w:divBdr>
      <w:divsChild>
        <w:div w:id="39210257">
          <w:marLeft w:val="0"/>
          <w:marRight w:val="0"/>
          <w:marTop w:val="0"/>
          <w:marBottom w:val="0"/>
          <w:divBdr>
            <w:top w:val="none" w:sz="0" w:space="0" w:color="auto"/>
            <w:left w:val="none" w:sz="0" w:space="0" w:color="auto"/>
            <w:bottom w:val="none" w:sz="0" w:space="0" w:color="auto"/>
            <w:right w:val="none" w:sz="0" w:space="0" w:color="auto"/>
          </w:divBdr>
          <w:divsChild>
            <w:div w:id="1311594572">
              <w:marLeft w:val="0"/>
              <w:marRight w:val="0"/>
              <w:marTop w:val="0"/>
              <w:marBottom w:val="0"/>
              <w:divBdr>
                <w:top w:val="none" w:sz="0" w:space="0" w:color="auto"/>
                <w:left w:val="none" w:sz="0" w:space="0" w:color="auto"/>
                <w:bottom w:val="none" w:sz="0" w:space="0" w:color="auto"/>
                <w:right w:val="none" w:sz="0" w:space="0" w:color="auto"/>
              </w:divBdr>
              <w:divsChild>
                <w:div w:id="8622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17479">
      <w:bodyDiv w:val="1"/>
      <w:marLeft w:val="0"/>
      <w:marRight w:val="0"/>
      <w:marTop w:val="0"/>
      <w:marBottom w:val="0"/>
      <w:divBdr>
        <w:top w:val="none" w:sz="0" w:space="0" w:color="auto"/>
        <w:left w:val="none" w:sz="0" w:space="0" w:color="auto"/>
        <w:bottom w:val="none" w:sz="0" w:space="0" w:color="auto"/>
        <w:right w:val="none" w:sz="0" w:space="0" w:color="auto"/>
      </w:divBdr>
      <w:divsChild>
        <w:div w:id="429858456">
          <w:marLeft w:val="0"/>
          <w:marRight w:val="0"/>
          <w:marTop w:val="0"/>
          <w:marBottom w:val="0"/>
          <w:divBdr>
            <w:top w:val="none" w:sz="0" w:space="0" w:color="auto"/>
            <w:left w:val="none" w:sz="0" w:space="0" w:color="auto"/>
            <w:bottom w:val="none" w:sz="0" w:space="0" w:color="auto"/>
            <w:right w:val="none" w:sz="0" w:space="0" w:color="auto"/>
          </w:divBdr>
          <w:divsChild>
            <w:div w:id="409740548">
              <w:marLeft w:val="0"/>
              <w:marRight w:val="0"/>
              <w:marTop w:val="0"/>
              <w:marBottom w:val="0"/>
              <w:divBdr>
                <w:top w:val="none" w:sz="0" w:space="0" w:color="auto"/>
                <w:left w:val="none" w:sz="0" w:space="0" w:color="auto"/>
                <w:bottom w:val="none" w:sz="0" w:space="0" w:color="auto"/>
                <w:right w:val="none" w:sz="0" w:space="0" w:color="auto"/>
              </w:divBdr>
              <w:divsChild>
                <w:div w:id="1803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08757">
      <w:bodyDiv w:val="1"/>
      <w:marLeft w:val="0"/>
      <w:marRight w:val="0"/>
      <w:marTop w:val="0"/>
      <w:marBottom w:val="0"/>
      <w:divBdr>
        <w:top w:val="none" w:sz="0" w:space="0" w:color="auto"/>
        <w:left w:val="none" w:sz="0" w:space="0" w:color="auto"/>
        <w:bottom w:val="none" w:sz="0" w:space="0" w:color="auto"/>
        <w:right w:val="none" w:sz="0" w:space="0" w:color="auto"/>
      </w:divBdr>
    </w:div>
    <w:div w:id="822427604">
      <w:bodyDiv w:val="1"/>
      <w:marLeft w:val="0"/>
      <w:marRight w:val="0"/>
      <w:marTop w:val="0"/>
      <w:marBottom w:val="0"/>
      <w:divBdr>
        <w:top w:val="none" w:sz="0" w:space="0" w:color="auto"/>
        <w:left w:val="none" w:sz="0" w:space="0" w:color="auto"/>
        <w:bottom w:val="none" w:sz="0" w:space="0" w:color="auto"/>
        <w:right w:val="none" w:sz="0" w:space="0" w:color="auto"/>
      </w:divBdr>
    </w:div>
    <w:div w:id="845049541">
      <w:bodyDiv w:val="1"/>
      <w:marLeft w:val="0"/>
      <w:marRight w:val="0"/>
      <w:marTop w:val="0"/>
      <w:marBottom w:val="0"/>
      <w:divBdr>
        <w:top w:val="none" w:sz="0" w:space="0" w:color="auto"/>
        <w:left w:val="none" w:sz="0" w:space="0" w:color="auto"/>
        <w:bottom w:val="none" w:sz="0" w:space="0" w:color="auto"/>
        <w:right w:val="none" w:sz="0" w:space="0" w:color="auto"/>
      </w:divBdr>
    </w:div>
    <w:div w:id="872617374">
      <w:bodyDiv w:val="1"/>
      <w:marLeft w:val="0"/>
      <w:marRight w:val="0"/>
      <w:marTop w:val="0"/>
      <w:marBottom w:val="0"/>
      <w:divBdr>
        <w:top w:val="none" w:sz="0" w:space="0" w:color="auto"/>
        <w:left w:val="none" w:sz="0" w:space="0" w:color="auto"/>
        <w:bottom w:val="none" w:sz="0" w:space="0" w:color="auto"/>
        <w:right w:val="none" w:sz="0" w:space="0" w:color="auto"/>
      </w:divBdr>
    </w:div>
    <w:div w:id="894044475">
      <w:bodyDiv w:val="1"/>
      <w:marLeft w:val="0"/>
      <w:marRight w:val="0"/>
      <w:marTop w:val="0"/>
      <w:marBottom w:val="0"/>
      <w:divBdr>
        <w:top w:val="none" w:sz="0" w:space="0" w:color="auto"/>
        <w:left w:val="none" w:sz="0" w:space="0" w:color="auto"/>
        <w:bottom w:val="none" w:sz="0" w:space="0" w:color="auto"/>
        <w:right w:val="none" w:sz="0" w:space="0" w:color="auto"/>
      </w:divBdr>
    </w:div>
    <w:div w:id="903373765">
      <w:bodyDiv w:val="1"/>
      <w:marLeft w:val="0"/>
      <w:marRight w:val="0"/>
      <w:marTop w:val="0"/>
      <w:marBottom w:val="0"/>
      <w:divBdr>
        <w:top w:val="none" w:sz="0" w:space="0" w:color="auto"/>
        <w:left w:val="none" w:sz="0" w:space="0" w:color="auto"/>
        <w:bottom w:val="none" w:sz="0" w:space="0" w:color="auto"/>
        <w:right w:val="none" w:sz="0" w:space="0" w:color="auto"/>
      </w:divBdr>
    </w:div>
    <w:div w:id="909467150">
      <w:bodyDiv w:val="1"/>
      <w:marLeft w:val="0"/>
      <w:marRight w:val="0"/>
      <w:marTop w:val="0"/>
      <w:marBottom w:val="0"/>
      <w:divBdr>
        <w:top w:val="none" w:sz="0" w:space="0" w:color="auto"/>
        <w:left w:val="none" w:sz="0" w:space="0" w:color="auto"/>
        <w:bottom w:val="none" w:sz="0" w:space="0" w:color="auto"/>
        <w:right w:val="none" w:sz="0" w:space="0" w:color="auto"/>
      </w:divBdr>
      <w:divsChild>
        <w:div w:id="1722557714">
          <w:marLeft w:val="0"/>
          <w:marRight w:val="0"/>
          <w:marTop w:val="0"/>
          <w:marBottom w:val="0"/>
          <w:divBdr>
            <w:top w:val="none" w:sz="0" w:space="0" w:color="auto"/>
            <w:left w:val="none" w:sz="0" w:space="0" w:color="auto"/>
            <w:bottom w:val="none" w:sz="0" w:space="0" w:color="auto"/>
            <w:right w:val="none" w:sz="0" w:space="0" w:color="auto"/>
          </w:divBdr>
          <w:divsChild>
            <w:div w:id="1358040161">
              <w:marLeft w:val="0"/>
              <w:marRight w:val="0"/>
              <w:marTop w:val="0"/>
              <w:marBottom w:val="0"/>
              <w:divBdr>
                <w:top w:val="none" w:sz="0" w:space="0" w:color="auto"/>
                <w:left w:val="none" w:sz="0" w:space="0" w:color="auto"/>
                <w:bottom w:val="none" w:sz="0" w:space="0" w:color="auto"/>
                <w:right w:val="none" w:sz="0" w:space="0" w:color="auto"/>
              </w:divBdr>
              <w:divsChild>
                <w:div w:id="15070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20797">
      <w:bodyDiv w:val="1"/>
      <w:marLeft w:val="0"/>
      <w:marRight w:val="0"/>
      <w:marTop w:val="0"/>
      <w:marBottom w:val="0"/>
      <w:divBdr>
        <w:top w:val="none" w:sz="0" w:space="0" w:color="auto"/>
        <w:left w:val="none" w:sz="0" w:space="0" w:color="auto"/>
        <w:bottom w:val="none" w:sz="0" w:space="0" w:color="auto"/>
        <w:right w:val="none" w:sz="0" w:space="0" w:color="auto"/>
      </w:divBdr>
    </w:div>
    <w:div w:id="913860982">
      <w:bodyDiv w:val="1"/>
      <w:marLeft w:val="0"/>
      <w:marRight w:val="0"/>
      <w:marTop w:val="0"/>
      <w:marBottom w:val="0"/>
      <w:divBdr>
        <w:top w:val="none" w:sz="0" w:space="0" w:color="auto"/>
        <w:left w:val="none" w:sz="0" w:space="0" w:color="auto"/>
        <w:bottom w:val="none" w:sz="0" w:space="0" w:color="auto"/>
        <w:right w:val="none" w:sz="0" w:space="0" w:color="auto"/>
      </w:divBdr>
    </w:div>
    <w:div w:id="915096259">
      <w:bodyDiv w:val="1"/>
      <w:marLeft w:val="0"/>
      <w:marRight w:val="0"/>
      <w:marTop w:val="0"/>
      <w:marBottom w:val="0"/>
      <w:divBdr>
        <w:top w:val="none" w:sz="0" w:space="0" w:color="auto"/>
        <w:left w:val="none" w:sz="0" w:space="0" w:color="auto"/>
        <w:bottom w:val="none" w:sz="0" w:space="0" w:color="auto"/>
        <w:right w:val="none" w:sz="0" w:space="0" w:color="auto"/>
      </w:divBdr>
    </w:div>
    <w:div w:id="916863303">
      <w:bodyDiv w:val="1"/>
      <w:marLeft w:val="0"/>
      <w:marRight w:val="0"/>
      <w:marTop w:val="0"/>
      <w:marBottom w:val="0"/>
      <w:divBdr>
        <w:top w:val="none" w:sz="0" w:space="0" w:color="auto"/>
        <w:left w:val="none" w:sz="0" w:space="0" w:color="auto"/>
        <w:bottom w:val="none" w:sz="0" w:space="0" w:color="auto"/>
        <w:right w:val="none" w:sz="0" w:space="0" w:color="auto"/>
      </w:divBdr>
    </w:div>
    <w:div w:id="919414386">
      <w:bodyDiv w:val="1"/>
      <w:marLeft w:val="0"/>
      <w:marRight w:val="0"/>
      <w:marTop w:val="0"/>
      <w:marBottom w:val="0"/>
      <w:divBdr>
        <w:top w:val="none" w:sz="0" w:space="0" w:color="auto"/>
        <w:left w:val="none" w:sz="0" w:space="0" w:color="auto"/>
        <w:bottom w:val="none" w:sz="0" w:space="0" w:color="auto"/>
        <w:right w:val="none" w:sz="0" w:space="0" w:color="auto"/>
      </w:divBdr>
    </w:div>
    <w:div w:id="924461659">
      <w:bodyDiv w:val="1"/>
      <w:marLeft w:val="0"/>
      <w:marRight w:val="0"/>
      <w:marTop w:val="0"/>
      <w:marBottom w:val="0"/>
      <w:divBdr>
        <w:top w:val="none" w:sz="0" w:space="0" w:color="auto"/>
        <w:left w:val="none" w:sz="0" w:space="0" w:color="auto"/>
        <w:bottom w:val="none" w:sz="0" w:space="0" w:color="auto"/>
        <w:right w:val="none" w:sz="0" w:space="0" w:color="auto"/>
      </w:divBdr>
      <w:divsChild>
        <w:div w:id="716314740">
          <w:marLeft w:val="0"/>
          <w:marRight w:val="0"/>
          <w:marTop w:val="0"/>
          <w:marBottom w:val="0"/>
          <w:divBdr>
            <w:top w:val="none" w:sz="0" w:space="0" w:color="auto"/>
            <w:left w:val="none" w:sz="0" w:space="0" w:color="auto"/>
            <w:bottom w:val="none" w:sz="0" w:space="0" w:color="auto"/>
            <w:right w:val="none" w:sz="0" w:space="0" w:color="auto"/>
          </w:divBdr>
          <w:divsChild>
            <w:div w:id="311451287">
              <w:marLeft w:val="0"/>
              <w:marRight w:val="0"/>
              <w:marTop w:val="0"/>
              <w:marBottom w:val="0"/>
              <w:divBdr>
                <w:top w:val="none" w:sz="0" w:space="0" w:color="auto"/>
                <w:left w:val="none" w:sz="0" w:space="0" w:color="auto"/>
                <w:bottom w:val="none" w:sz="0" w:space="0" w:color="auto"/>
                <w:right w:val="none" w:sz="0" w:space="0" w:color="auto"/>
              </w:divBdr>
              <w:divsChild>
                <w:div w:id="800344026">
                  <w:marLeft w:val="0"/>
                  <w:marRight w:val="0"/>
                  <w:marTop w:val="0"/>
                  <w:marBottom w:val="0"/>
                  <w:divBdr>
                    <w:top w:val="none" w:sz="0" w:space="0" w:color="auto"/>
                    <w:left w:val="none" w:sz="0" w:space="0" w:color="auto"/>
                    <w:bottom w:val="none" w:sz="0" w:space="0" w:color="auto"/>
                    <w:right w:val="none" w:sz="0" w:space="0" w:color="auto"/>
                  </w:divBdr>
                </w:div>
              </w:divsChild>
            </w:div>
            <w:div w:id="1860506010">
              <w:marLeft w:val="0"/>
              <w:marRight w:val="0"/>
              <w:marTop w:val="0"/>
              <w:marBottom w:val="0"/>
              <w:divBdr>
                <w:top w:val="none" w:sz="0" w:space="0" w:color="auto"/>
                <w:left w:val="none" w:sz="0" w:space="0" w:color="auto"/>
                <w:bottom w:val="none" w:sz="0" w:space="0" w:color="auto"/>
                <w:right w:val="none" w:sz="0" w:space="0" w:color="auto"/>
              </w:divBdr>
              <w:divsChild>
                <w:div w:id="1579897137">
                  <w:marLeft w:val="0"/>
                  <w:marRight w:val="0"/>
                  <w:marTop w:val="0"/>
                  <w:marBottom w:val="0"/>
                  <w:divBdr>
                    <w:top w:val="none" w:sz="0" w:space="0" w:color="auto"/>
                    <w:left w:val="none" w:sz="0" w:space="0" w:color="auto"/>
                    <w:bottom w:val="none" w:sz="0" w:space="0" w:color="auto"/>
                    <w:right w:val="none" w:sz="0" w:space="0" w:color="auto"/>
                  </w:divBdr>
                </w:div>
              </w:divsChild>
            </w:div>
            <w:div w:id="1357583879">
              <w:marLeft w:val="0"/>
              <w:marRight w:val="0"/>
              <w:marTop w:val="0"/>
              <w:marBottom w:val="0"/>
              <w:divBdr>
                <w:top w:val="none" w:sz="0" w:space="0" w:color="auto"/>
                <w:left w:val="none" w:sz="0" w:space="0" w:color="auto"/>
                <w:bottom w:val="none" w:sz="0" w:space="0" w:color="auto"/>
                <w:right w:val="none" w:sz="0" w:space="0" w:color="auto"/>
              </w:divBdr>
              <w:divsChild>
                <w:div w:id="141416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586375">
      <w:bodyDiv w:val="1"/>
      <w:marLeft w:val="0"/>
      <w:marRight w:val="0"/>
      <w:marTop w:val="0"/>
      <w:marBottom w:val="0"/>
      <w:divBdr>
        <w:top w:val="none" w:sz="0" w:space="0" w:color="auto"/>
        <w:left w:val="none" w:sz="0" w:space="0" w:color="auto"/>
        <w:bottom w:val="none" w:sz="0" w:space="0" w:color="auto"/>
        <w:right w:val="none" w:sz="0" w:space="0" w:color="auto"/>
      </w:divBdr>
      <w:divsChild>
        <w:div w:id="781345363">
          <w:marLeft w:val="0"/>
          <w:marRight w:val="0"/>
          <w:marTop w:val="0"/>
          <w:marBottom w:val="0"/>
          <w:divBdr>
            <w:top w:val="none" w:sz="0" w:space="0" w:color="auto"/>
            <w:left w:val="none" w:sz="0" w:space="0" w:color="auto"/>
            <w:bottom w:val="none" w:sz="0" w:space="0" w:color="auto"/>
            <w:right w:val="none" w:sz="0" w:space="0" w:color="auto"/>
          </w:divBdr>
          <w:divsChild>
            <w:div w:id="1936399710">
              <w:marLeft w:val="0"/>
              <w:marRight w:val="0"/>
              <w:marTop w:val="0"/>
              <w:marBottom w:val="0"/>
              <w:divBdr>
                <w:top w:val="none" w:sz="0" w:space="0" w:color="auto"/>
                <w:left w:val="none" w:sz="0" w:space="0" w:color="auto"/>
                <w:bottom w:val="none" w:sz="0" w:space="0" w:color="auto"/>
                <w:right w:val="none" w:sz="0" w:space="0" w:color="auto"/>
              </w:divBdr>
              <w:divsChild>
                <w:div w:id="137430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868331">
      <w:bodyDiv w:val="1"/>
      <w:marLeft w:val="0"/>
      <w:marRight w:val="0"/>
      <w:marTop w:val="0"/>
      <w:marBottom w:val="0"/>
      <w:divBdr>
        <w:top w:val="none" w:sz="0" w:space="0" w:color="auto"/>
        <w:left w:val="none" w:sz="0" w:space="0" w:color="auto"/>
        <w:bottom w:val="none" w:sz="0" w:space="0" w:color="auto"/>
        <w:right w:val="none" w:sz="0" w:space="0" w:color="auto"/>
      </w:divBdr>
      <w:divsChild>
        <w:div w:id="1354500835">
          <w:marLeft w:val="0"/>
          <w:marRight w:val="0"/>
          <w:marTop w:val="0"/>
          <w:marBottom w:val="0"/>
          <w:divBdr>
            <w:top w:val="none" w:sz="0" w:space="0" w:color="auto"/>
            <w:left w:val="none" w:sz="0" w:space="0" w:color="auto"/>
            <w:bottom w:val="none" w:sz="0" w:space="0" w:color="auto"/>
            <w:right w:val="none" w:sz="0" w:space="0" w:color="auto"/>
          </w:divBdr>
          <w:divsChild>
            <w:div w:id="2086686794">
              <w:marLeft w:val="0"/>
              <w:marRight w:val="0"/>
              <w:marTop w:val="0"/>
              <w:marBottom w:val="0"/>
              <w:divBdr>
                <w:top w:val="none" w:sz="0" w:space="0" w:color="auto"/>
                <w:left w:val="none" w:sz="0" w:space="0" w:color="auto"/>
                <w:bottom w:val="none" w:sz="0" w:space="0" w:color="auto"/>
                <w:right w:val="none" w:sz="0" w:space="0" w:color="auto"/>
              </w:divBdr>
              <w:divsChild>
                <w:div w:id="3226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94538">
      <w:bodyDiv w:val="1"/>
      <w:marLeft w:val="0"/>
      <w:marRight w:val="0"/>
      <w:marTop w:val="0"/>
      <w:marBottom w:val="0"/>
      <w:divBdr>
        <w:top w:val="none" w:sz="0" w:space="0" w:color="auto"/>
        <w:left w:val="none" w:sz="0" w:space="0" w:color="auto"/>
        <w:bottom w:val="none" w:sz="0" w:space="0" w:color="auto"/>
        <w:right w:val="none" w:sz="0" w:space="0" w:color="auto"/>
      </w:divBdr>
      <w:divsChild>
        <w:div w:id="1057706705">
          <w:marLeft w:val="0"/>
          <w:marRight w:val="0"/>
          <w:marTop w:val="0"/>
          <w:marBottom w:val="0"/>
          <w:divBdr>
            <w:top w:val="none" w:sz="0" w:space="0" w:color="auto"/>
            <w:left w:val="none" w:sz="0" w:space="0" w:color="auto"/>
            <w:bottom w:val="none" w:sz="0" w:space="0" w:color="auto"/>
            <w:right w:val="none" w:sz="0" w:space="0" w:color="auto"/>
          </w:divBdr>
          <w:divsChild>
            <w:div w:id="109904077">
              <w:marLeft w:val="0"/>
              <w:marRight w:val="0"/>
              <w:marTop w:val="0"/>
              <w:marBottom w:val="0"/>
              <w:divBdr>
                <w:top w:val="none" w:sz="0" w:space="0" w:color="auto"/>
                <w:left w:val="none" w:sz="0" w:space="0" w:color="auto"/>
                <w:bottom w:val="none" w:sz="0" w:space="0" w:color="auto"/>
                <w:right w:val="none" w:sz="0" w:space="0" w:color="auto"/>
              </w:divBdr>
              <w:divsChild>
                <w:div w:id="54194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632759">
      <w:bodyDiv w:val="1"/>
      <w:marLeft w:val="0"/>
      <w:marRight w:val="0"/>
      <w:marTop w:val="0"/>
      <w:marBottom w:val="0"/>
      <w:divBdr>
        <w:top w:val="none" w:sz="0" w:space="0" w:color="auto"/>
        <w:left w:val="none" w:sz="0" w:space="0" w:color="auto"/>
        <w:bottom w:val="none" w:sz="0" w:space="0" w:color="auto"/>
        <w:right w:val="none" w:sz="0" w:space="0" w:color="auto"/>
      </w:divBdr>
    </w:div>
    <w:div w:id="965964870">
      <w:bodyDiv w:val="1"/>
      <w:marLeft w:val="0"/>
      <w:marRight w:val="0"/>
      <w:marTop w:val="0"/>
      <w:marBottom w:val="0"/>
      <w:divBdr>
        <w:top w:val="none" w:sz="0" w:space="0" w:color="auto"/>
        <w:left w:val="none" w:sz="0" w:space="0" w:color="auto"/>
        <w:bottom w:val="none" w:sz="0" w:space="0" w:color="auto"/>
        <w:right w:val="none" w:sz="0" w:space="0" w:color="auto"/>
      </w:divBdr>
    </w:div>
    <w:div w:id="966591821">
      <w:bodyDiv w:val="1"/>
      <w:marLeft w:val="0"/>
      <w:marRight w:val="0"/>
      <w:marTop w:val="0"/>
      <w:marBottom w:val="0"/>
      <w:divBdr>
        <w:top w:val="none" w:sz="0" w:space="0" w:color="auto"/>
        <w:left w:val="none" w:sz="0" w:space="0" w:color="auto"/>
        <w:bottom w:val="none" w:sz="0" w:space="0" w:color="auto"/>
        <w:right w:val="none" w:sz="0" w:space="0" w:color="auto"/>
      </w:divBdr>
    </w:div>
    <w:div w:id="968241110">
      <w:bodyDiv w:val="1"/>
      <w:marLeft w:val="0"/>
      <w:marRight w:val="0"/>
      <w:marTop w:val="0"/>
      <w:marBottom w:val="0"/>
      <w:divBdr>
        <w:top w:val="none" w:sz="0" w:space="0" w:color="auto"/>
        <w:left w:val="none" w:sz="0" w:space="0" w:color="auto"/>
        <w:bottom w:val="none" w:sz="0" w:space="0" w:color="auto"/>
        <w:right w:val="none" w:sz="0" w:space="0" w:color="auto"/>
      </w:divBdr>
    </w:div>
    <w:div w:id="970400730">
      <w:bodyDiv w:val="1"/>
      <w:marLeft w:val="0"/>
      <w:marRight w:val="0"/>
      <w:marTop w:val="0"/>
      <w:marBottom w:val="0"/>
      <w:divBdr>
        <w:top w:val="none" w:sz="0" w:space="0" w:color="auto"/>
        <w:left w:val="none" w:sz="0" w:space="0" w:color="auto"/>
        <w:bottom w:val="none" w:sz="0" w:space="0" w:color="auto"/>
        <w:right w:val="none" w:sz="0" w:space="0" w:color="auto"/>
      </w:divBdr>
    </w:div>
    <w:div w:id="974676569">
      <w:bodyDiv w:val="1"/>
      <w:marLeft w:val="0"/>
      <w:marRight w:val="0"/>
      <w:marTop w:val="0"/>
      <w:marBottom w:val="0"/>
      <w:divBdr>
        <w:top w:val="none" w:sz="0" w:space="0" w:color="auto"/>
        <w:left w:val="none" w:sz="0" w:space="0" w:color="auto"/>
        <w:bottom w:val="none" w:sz="0" w:space="0" w:color="auto"/>
        <w:right w:val="none" w:sz="0" w:space="0" w:color="auto"/>
      </w:divBdr>
    </w:div>
    <w:div w:id="980040847">
      <w:bodyDiv w:val="1"/>
      <w:marLeft w:val="0"/>
      <w:marRight w:val="0"/>
      <w:marTop w:val="0"/>
      <w:marBottom w:val="0"/>
      <w:divBdr>
        <w:top w:val="none" w:sz="0" w:space="0" w:color="auto"/>
        <w:left w:val="none" w:sz="0" w:space="0" w:color="auto"/>
        <w:bottom w:val="none" w:sz="0" w:space="0" w:color="auto"/>
        <w:right w:val="none" w:sz="0" w:space="0" w:color="auto"/>
      </w:divBdr>
    </w:div>
    <w:div w:id="981690864">
      <w:bodyDiv w:val="1"/>
      <w:marLeft w:val="0"/>
      <w:marRight w:val="0"/>
      <w:marTop w:val="0"/>
      <w:marBottom w:val="0"/>
      <w:divBdr>
        <w:top w:val="none" w:sz="0" w:space="0" w:color="auto"/>
        <w:left w:val="none" w:sz="0" w:space="0" w:color="auto"/>
        <w:bottom w:val="none" w:sz="0" w:space="0" w:color="auto"/>
        <w:right w:val="none" w:sz="0" w:space="0" w:color="auto"/>
      </w:divBdr>
      <w:divsChild>
        <w:div w:id="1554543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816010">
      <w:bodyDiv w:val="1"/>
      <w:marLeft w:val="0"/>
      <w:marRight w:val="0"/>
      <w:marTop w:val="0"/>
      <w:marBottom w:val="0"/>
      <w:divBdr>
        <w:top w:val="none" w:sz="0" w:space="0" w:color="auto"/>
        <w:left w:val="none" w:sz="0" w:space="0" w:color="auto"/>
        <w:bottom w:val="none" w:sz="0" w:space="0" w:color="auto"/>
        <w:right w:val="none" w:sz="0" w:space="0" w:color="auto"/>
      </w:divBdr>
    </w:div>
    <w:div w:id="995648104">
      <w:bodyDiv w:val="1"/>
      <w:marLeft w:val="0"/>
      <w:marRight w:val="0"/>
      <w:marTop w:val="0"/>
      <w:marBottom w:val="0"/>
      <w:divBdr>
        <w:top w:val="none" w:sz="0" w:space="0" w:color="auto"/>
        <w:left w:val="none" w:sz="0" w:space="0" w:color="auto"/>
        <w:bottom w:val="none" w:sz="0" w:space="0" w:color="auto"/>
        <w:right w:val="none" w:sz="0" w:space="0" w:color="auto"/>
      </w:divBdr>
    </w:div>
    <w:div w:id="1008752831">
      <w:bodyDiv w:val="1"/>
      <w:marLeft w:val="0"/>
      <w:marRight w:val="0"/>
      <w:marTop w:val="0"/>
      <w:marBottom w:val="0"/>
      <w:divBdr>
        <w:top w:val="none" w:sz="0" w:space="0" w:color="auto"/>
        <w:left w:val="none" w:sz="0" w:space="0" w:color="auto"/>
        <w:bottom w:val="none" w:sz="0" w:space="0" w:color="auto"/>
        <w:right w:val="none" w:sz="0" w:space="0" w:color="auto"/>
      </w:divBdr>
    </w:div>
    <w:div w:id="1009067473">
      <w:bodyDiv w:val="1"/>
      <w:marLeft w:val="0"/>
      <w:marRight w:val="0"/>
      <w:marTop w:val="0"/>
      <w:marBottom w:val="0"/>
      <w:divBdr>
        <w:top w:val="none" w:sz="0" w:space="0" w:color="auto"/>
        <w:left w:val="none" w:sz="0" w:space="0" w:color="auto"/>
        <w:bottom w:val="none" w:sz="0" w:space="0" w:color="auto"/>
        <w:right w:val="none" w:sz="0" w:space="0" w:color="auto"/>
      </w:divBdr>
    </w:div>
    <w:div w:id="1022514048">
      <w:bodyDiv w:val="1"/>
      <w:marLeft w:val="0"/>
      <w:marRight w:val="0"/>
      <w:marTop w:val="0"/>
      <w:marBottom w:val="0"/>
      <w:divBdr>
        <w:top w:val="none" w:sz="0" w:space="0" w:color="auto"/>
        <w:left w:val="none" w:sz="0" w:space="0" w:color="auto"/>
        <w:bottom w:val="none" w:sz="0" w:space="0" w:color="auto"/>
        <w:right w:val="none" w:sz="0" w:space="0" w:color="auto"/>
      </w:divBdr>
    </w:div>
    <w:div w:id="1024096564">
      <w:bodyDiv w:val="1"/>
      <w:marLeft w:val="0"/>
      <w:marRight w:val="0"/>
      <w:marTop w:val="0"/>
      <w:marBottom w:val="0"/>
      <w:divBdr>
        <w:top w:val="none" w:sz="0" w:space="0" w:color="auto"/>
        <w:left w:val="none" w:sz="0" w:space="0" w:color="auto"/>
        <w:bottom w:val="none" w:sz="0" w:space="0" w:color="auto"/>
        <w:right w:val="none" w:sz="0" w:space="0" w:color="auto"/>
      </w:divBdr>
    </w:div>
    <w:div w:id="1024283846">
      <w:bodyDiv w:val="1"/>
      <w:marLeft w:val="0"/>
      <w:marRight w:val="0"/>
      <w:marTop w:val="0"/>
      <w:marBottom w:val="0"/>
      <w:divBdr>
        <w:top w:val="none" w:sz="0" w:space="0" w:color="auto"/>
        <w:left w:val="none" w:sz="0" w:space="0" w:color="auto"/>
        <w:bottom w:val="none" w:sz="0" w:space="0" w:color="auto"/>
        <w:right w:val="none" w:sz="0" w:space="0" w:color="auto"/>
      </w:divBdr>
    </w:div>
    <w:div w:id="1030496376">
      <w:bodyDiv w:val="1"/>
      <w:marLeft w:val="0"/>
      <w:marRight w:val="0"/>
      <w:marTop w:val="0"/>
      <w:marBottom w:val="0"/>
      <w:divBdr>
        <w:top w:val="none" w:sz="0" w:space="0" w:color="auto"/>
        <w:left w:val="none" w:sz="0" w:space="0" w:color="auto"/>
        <w:bottom w:val="none" w:sz="0" w:space="0" w:color="auto"/>
        <w:right w:val="none" w:sz="0" w:space="0" w:color="auto"/>
      </w:divBdr>
    </w:div>
    <w:div w:id="1035815673">
      <w:bodyDiv w:val="1"/>
      <w:marLeft w:val="0"/>
      <w:marRight w:val="0"/>
      <w:marTop w:val="0"/>
      <w:marBottom w:val="0"/>
      <w:divBdr>
        <w:top w:val="none" w:sz="0" w:space="0" w:color="auto"/>
        <w:left w:val="none" w:sz="0" w:space="0" w:color="auto"/>
        <w:bottom w:val="none" w:sz="0" w:space="0" w:color="auto"/>
        <w:right w:val="none" w:sz="0" w:space="0" w:color="auto"/>
      </w:divBdr>
    </w:div>
    <w:div w:id="1036009668">
      <w:bodyDiv w:val="1"/>
      <w:marLeft w:val="0"/>
      <w:marRight w:val="0"/>
      <w:marTop w:val="0"/>
      <w:marBottom w:val="0"/>
      <w:divBdr>
        <w:top w:val="none" w:sz="0" w:space="0" w:color="auto"/>
        <w:left w:val="none" w:sz="0" w:space="0" w:color="auto"/>
        <w:bottom w:val="none" w:sz="0" w:space="0" w:color="auto"/>
        <w:right w:val="none" w:sz="0" w:space="0" w:color="auto"/>
      </w:divBdr>
      <w:divsChild>
        <w:div w:id="879316362">
          <w:marLeft w:val="0"/>
          <w:marRight w:val="0"/>
          <w:marTop w:val="0"/>
          <w:marBottom w:val="0"/>
          <w:divBdr>
            <w:top w:val="single" w:sz="6" w:space="0" w:color="5B616B"/>
            <w:left w:val="single" w:sz="6" w:space="0" w:color="5B616B"/>
            <w:bottom w:val="single" w:sz="6" w:space="0" w:color="5B616B"/>
            <w:right w:val="single" w:sz="6" w:space="0" w:color="5B616B"/>
          </w:divBdr>
        </w:div>
        <w:div w:id="986054951">
          <w:marLeft w:val="0"/>
          <w:marRight w:val="0"/>
          <w:marTop w:val="0"/>
          <w:marBottom w:val="0"/>
          <w:divBdr>
            <w:top w:val="none" w:sz="0" w:space="0" w:color="auto"/>
            <w:left w:val="none" w:sz="0" w:space="0" w:color="auto"/>
            <w:bottom w:val="none" w:sz="0" w:space="0" w:color="auto"/>
            <w:right w:val="none" w:sz="0" w:space="0" w:color="auto"/>
          </w:divBdr>
        </w:div>
      </w:divsChild>
    </w:div>
    <w:div w:id="1042940737">
      <w:bodyDiv w:val="1"/>
      <w:marLeft w:val="0"/>
      <w:marRight w:val="0"/>
      <w:marTop w:val="0"/>
      <w:marBottom w:val="0"/>
      <w:divBdr>
        <w:top w:val="none" w:sz="0" w:space="0" w:color="auto"/>
        <w:left w:val="none" w:sz="0" w:space="0" w:color="auto"/>
        <w:bottom w:val="none" w:sz="0" w:space="0" w:color="auto"/>
        <w:right w:val="none" w:sz="0" w:space="0" w:color="auto"/>
      </w:divBdr>
    </w:div>
    <w:div w:id="1046177279">
      <w:bodyDiv w:val="1"/>
      <w:marLeft w:val="0"/>
      <w:marRight w:val="0"/>
      <w:marTop w:val="0"/>
      <w:marBottom w:val="0"/>
      <w:divBdr>
        <w:top w:val="none" w:sz="0" w:space="0" w:color="auto"/>
        <w:left w:val="none" w:sz="0" w:space="0" w:color="auto"/>
        <w:bottom w:val="none" w:sz="0" w:space="0" w:color="auto"/>
        <w:right w:val="none" w:sz="0" w:space="0" w:color="auto"/>
      </w:divBdr>
    </w:div>
    <w:div w:id="1059784765">
      <w:bodyDiv w:val="1"/>
      <w:marLeft w:val="0"/>
      <w:marRight w:val="0"/>
      <w:marTop w:val="0"/>
      <w:marBottom w:val="0"/>
      <w:divBdr>
        <w:top w:val="none" w:sz="0" w:space="0" w:color="auto"/>
        <w:left w:val="none" w:sz="0" w:space="0" w:color="auto"/>
        <w:bottom w:val="none" w:sz="0" w:space="0" w:color="auto"/>
        <w:right w:val="none" w:sz="0" w:space="0" w:color="auto"/>
      </w:divBdr>
    </w:div>
    <w:div w:id="1060518424">
      <w:bodyDiv w:val="1"/>
      <w:marLeft w:val="0"/>
      <w:marRight w:val="0"/>
      <w:marTop w:val="0"/>
      <w:marBottom w:val="0"/>
      <w:divBdr>
        <w:top w:val="none" w:sz="0" w:space="0" w:color="auto"/>
        <w:left w:val="none" w:sz="0" w:space="0" w:color="auto"/>
        <w:bottom w:val="none" w:sz="0" w:space="0" w:color="auto"/>
        <w:right w:val="none" w:sz="0" w:space="0" w:color="auto"/>
      </w:divBdr>
    </w:div>
    <w:div w:id="1065298404">
      <w:bodyDiv w:val="1"/>
      <w:marLeft w:val="0"/>
      <w:marRight w:val="0"/>
      <w:marTop w:val="0"/>
      <w:marBottom w:val="0"/>
      <w:divBdr>
        <w:top w:val="none" w:sz="0" w:space="0" w:color="auto"/>
        <w:left w:val="none" w:sz="0" w:space="0" w:color="auto"/>
        <w:bottom w:val="none" w:sz="0" w:space="0" w:color="auto"/>
        <w:right w:val="none" w:sz="0" w:space="0" w:color="auto"/>
      </w:divBdr>
      <w:divsChild>
        <w:div w:id="1694070747">
          <w:marLeft w:val="0"/>
          <w:marRight w:val="0"/>
          <w:marTop w:val="0"/>
          <w:marBottom w:val="0"/>
          <w:divBdr>
            <w:top w:val="none" w:sz="0" w:space="0" w:color="auto"/>
            <w:left w:val="none" w:sz="0" w:space="0" w:color="auto"/>
            <w:bottom w:val="none" w:sz="0" w:space="0" w:color="auto"/>
            <w:right w:val="none" w:sz="0" w:space="0" w:color="auto"/>
          </w:divBdr>
          <w:divsChild>
            <w:div w:id="1967392324">
              <w:marLeft w:val="0"/>
              <w:marRight w:val="0"/>
              <w:marTop w:val="0"/>
              <w:marBottom w:val="0"/>
              <w:divBdr>
                <w:top w:val="none" w:sz="0" w:space="0" w:color="auto"/>
                <w:left w:val="none" w:sz="0" w:space="0" w:color="auto"/>
                <w:bottom w:val="none" w:sz="0" w:space="0" w:color="auto"/>
                <w:right w:val="none" w:sz="0" w:space="0" w:color="auto"/>
              </w:divBdr>
              <w:divsChild>
                <w:div w:id="15295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9702">
      <w:bodyDiv w:val="1"/>
      <w:marLeft w:val="0"/>
      <w:marRight w:val="0"/>
      <w:marTop w:val="0"/>
      <w:marBottom w:val="0"/>
      <w:divBdr>
        <w:top w:val="none" w:sz="0" w:space="0" w:color="auto"/>
        <w:left w:val="none" w:sz="0" w:space="0" w:color="auto"/>
        <w:bottom w:val="none" w:sz="0" w:space="0" w:color="auto"/>
        <w:right w:val="none" w:sz="0" w:space="0" w:color="auto"/>
      </w:divBdr>
      <w:divsChild>
        <w:div w:id="1564943578">
          <w:marLeft w:val="0"/>
          <w:marRight w:val="0"/>
          <w:marTop w:val="0"/>
          <w:marBottom w:val="0"/>
          <w:divBdr>
            <w:top w:val="none" w:sz="0" w:space="0" w:color="auto"/>
            <w:left w:val="none" w:sz="0" w:space="0" w:color="auto"/>
            <w:bottom w:val="none" w:sz="0" w:space="0" w:color="auto"/>
            <w:right w:val="none" w:sz="0" w:space="0" w:color="auto"/>
          </w:divBdr>
          <w:divsChild>
            <w:div w:id="1816026744">
              <w:marLeft w:val="0"/>
              <w:marRight w:val="0"/>
              <w:marTop w:val="0"/>
              <w:marBottom w:val="0"/>
              <w:divBdr>
                <w:top w:val="none" w:sz="0" w:space="0" w:color="auto"/>
                <w:left w:val="none" w:sz="0" w:space="0" w:color="auto"/>
                <w:bottom w:val="none" w:sz="0" w:space="0" w:color="auto"/>
                <w:right w:val="none" w:sz="0" w:space="0" w:color="auto"/>
              </w:divBdr>
              <w:divsChild>
                <w:div w:id="272782521">
                  <w:marLeft w:val="0"/>
                  <w:marRight w:val="0"/>
                  <w:marTop w:val="0"/>
                  <w:marBottom w:val="0"/>
                  <w:divBdr>
                    <w:top w:val="none" w:sz="0" w:space="0" w:color="auto"/>
                    <w:left w:val="none" w:sz="0" w:space="0" w:color="auto"/>
                    <w:bottom w:val="none" w:sz="0" w:space="0" w:color="auto"/>
                    <w:right w:val="none" w:sz="0" w:space="0" w:color="auto"/>
                  </w:divBdr>
                </w:div>
              </w:divsChild>
            </w:div>
            <w:div w:id="661737363">
              <w:marLeft w:val="0"/>
              <w:marRight w:val="0"/>
              <w:marTop w:val="0"/>
              <w:marBottom w:val="0"/>
              <w:divBdr>
                <w:top w:val="none" w:sz="0" w:space="0" w:color="auto"/>
                <w:left w:val="none" w:sz="0" w:space="0" w:color="auto"/>
                <w:bottom w:val="none" w:sz="0" w:space="0" w:color="auto"/>
                <w:right w:val="none" w:sz="0" w:space="0" w:color="auto"/>
              </w:divBdr>
              <w:divsChild>
                <w:div w:id="1133982933">
                  <w:marLeft w:val="0"/>
                  <w:marRight w:val="0"/>
                  <w:marTop w:val="0"/>
                  <w:marBottom w:val="0"/>
                  <w:divBdr>
                    <w:top w:val="none" w:sz="0" w:space="0" w:color="auto"/>
                    <w:left w:val="none" w:sz="0" w:space="0" w:color="auto"/>
                    <w:bottom w:val="none" w:sz="0" w:space="0" w:color="auto"/>
                    <w:right w:val="none" w:sz="0" w:space="0" w:color="auto"/>
                  </w:divBdr>
                </w:div>
                <w:div w:id="1474637725">
                  <w:marLeft w:val="0"/>
                  <w:marRight w:val="0"/>
                  <w:marTop w:val="0"/>
                  <w:marBottom w:val="0"/>
                  <w:divBdr>
                    <w:top w:val="none" w:sz="0" w:space="0" w:color="auto"/>
                    <w:left w:val="none" w:sz="0" w:space="0" w:color="auto"/>
                    <w:bottom w:val="none" w:sz="0" w:space="0" w:color="auto"/>
                    <w:right w:val="none" w:sz="0" w:space="0" w:color="auto"/>
                  </w:divBdr>
                </w:div>
              </w:divsChild>
            </w:div>
            <w:div w:id="1894192222">
              <w:marLeft w:val="0"/>
              <w:marRight w:val="0"/>
              <w:marTop w:val="0"/>
              <w:marBottom w:val="0"/>
              <w:divBdr>
                <w:top w:val="none" w:sz="0" w:space="0" w:color="auto"/>
                <w:left w:val="none" w:sz="0" w:space="0" w:color="auto"/>
                <w:bottom w:val="none" w:sz="0" w:space="0" w:color="auto"/>
                <w:right w:val="none" w:sz="0" w:space="0" w:color="auto"/>
              </w:divBdr>
              <w:divsChild>
                <w:div w:id="14809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993847">
      <w:bodyDiv w:val="1"/>
      <w:marLeft w:val="0"/>
      <w:marRight w:val="0"/>
      <w:marTop w:val="0"/>
      <w:marBottom w:val="0"/>
      <w:divBdr>
        <w:top w:val="none" w:sz="0" w:space="0" w:color="auto"/>
        <w:left w:val="none" w:sz="0" w:space="0" w:color="auto"/>
        <w:bottom w:val="none" w:sz="0" w:space="0" w:color="auto"/>
        <w:right w:val="none" w:sz="0" w:space="0" w:color="auto"/>
      </w:divBdr>
    </w:div>
    <w:div w:id="1074551593">
      <w:bodyDiv w:val="1"/>
      <w:marLeft w:val="0"/>
      <w:marRight w:val="0"/>
      <w:marTop w:val="0"/>
      <w:marBottom w:val="0"/>
      <w:divBdr>
        <w:top w:val="none" w:sz="0" w:space="0" w:color="auto"/>
        <w:left w:val="none" w:sz="0" w:space="0" w:color="auto"/>
        <w:bottom w:val="none" w:sz="0" w:space="0" w:color="auto"/>
        <w:right w:val="none" w:sz="0" w:space="0" w:color="auto"/>
      </w:divBdr>
      <w:divsChild>
        <w:div w:id="1699892625">
          <w:marLeft w:val="0"/>
          <w:marRight w:val="0"/>
          <w:marTop w:val="0"/>
          <w:marBottom w:val="0"/>
          <w:divBdr>
            <w:top w:val="none" w:sz="0" w:space="0" w:color="auto"/>
            <w:left w:val="none" w:sz="0" w:space="0" w:color="auto"/>
            <w:bottom w:val="none" w:sz="0" w:space="0" w:color="auto"/>
            <w:right w:val="none" w:sz="0" w:space="0" w:color="auto"/>
          </w:divBdr>
          <w:divsChild>
            <w:div w:id="828718954">
              <w:marLeft w:val="0"/>
              <w:marRight w:val="0"/>
              <w:marTop w:val="0"/>
              <w:marBottom w:val="0"/>
              <w:divBdr>
                <w:top w:val="none" w:sz="0" w:space="0" w:color="auto"/>
                <w:left w:val="none" w:sz="0" w:space="0" w:color="auto"/>
                <w:bottom w:val="none" w:sz="0" w:space="0" w:color="auto"/>
                <w:right w:val="none" w:sz="0" w:space="0" w:color="auto"/>
              </w:divBdr>
              <w:divsChild>
                <w:div w:id="14393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42098">
      <w:bodyDiv w:val="1"/>
      <w:marLeft w:val="0"/>
      <w:marRight w:val="0"/>
      <w:marTop w:val="0"/>
      <w:marBottom w:val="0"/>
      <w:divBdr>
        <w:top w:val="none" w:sz="0" w:space="0" w:color="auto"/>
        <w:left w:val="none" w:sz="0" w:space="0" w:color="auto"/>
        <w:bottom w:val="none" w:sz="0" w:space="0" w:color="auto"/>
        <w:right w:val="none" w:sz="0" w:space="0" w:color="auto"/>
      </w:divBdr>
    </w:div>
    <w:div w:id="1080910353">
      <w:bodyDiv w:val="1"/>
      <w:marLeft w:val="0"/>
      <w:marRight w:val="0"/>
      <w:marTop w:val="0"/>
      <w:marBottom w:val="0"/>
      <w:divBdr>
        <w:top w:val="none" w:sz="0" w:space="0" w:color="auto"/>
        <w:left w:val="none" w:sz="0" w:space="0" w:color="auto"/>
        <w:bottom w:val="none" w:sz="0" w:space="0" w:color="auto"/>
        <w:right w:val="none" w:sz="0" w:space="0" w:color="auto"/>
      </w:divBdr>
    </w:div>
    <w:div w:id="1083381613">
      <w:bodyDiv w:val="1"/>
      <w:marLeft w:val="0"/>
      <w:marRight w:val="0"/>
      <w:marTop w:val="0"/>
      <w:marBottom w:val="0"/>
      <w:divBdr>
        <w:top w:val="none" w:sz="0" w:space="0" w:color="auto"/>
        <w:left w:val="none" w:sz="0" w:space="0" w:color="auto"/>
        <w:bottom w:val="none" w:sz="0" w:space="0" w:color="auto"/>
        <w:right w:val="none" w:sz="0" w:space="0" w:color="auto"/>
      </w:divBdr>
    </w:div>
    <w:div w:id="1089346727">
      <w:bodyDiv w:val="1"/>
      <w:marLeft w:val="0"/>
      <w:marRight w:val="0"/>
      <w:marTop w:val="0"/>
      <w:marBottom w:val="0"/>
      <w:divBdr>
        <w:top w:val="none" w:sz="0" w:space="0" w:color="auto"/>
        <w:left w:val="none" w:sz="0" w:space="0" w:color="auto"/>
        <w:bottom w:val="none" w:sz="0" w:space="0" w:color="auto"/>
        <w:right w:val="none" w:sz="0" w:space="0" w:color="auto"/>
      </w:divBdr>
      <w:divsChild>
        <w:div w:id="367532559">
          <w:marLeft w:val="0"/>
          <w:marRight w:val="0"/>
          <w:marTop w:val="0"/>
          <w:marBottom w:val="0"/>
          <w:divBdr>
            <w:top w:val="none" w:sz="0" w:space="0" w:color="auto"/>
            <w:left w:val="none" w:sz="0" w:space="0" w:color="auto"/>
            <w:bottom w:val="none" w:sz="0" w:space="0" w:color="auto"/>
            <w:right w:val="none" w:sz="0" w:space="0" w:color="auto"/>
          </w:divBdr>
          <w:divsChild>
            <w:div w:id="171044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83715">
      <w:bodyDiv w:val="1"/>
      <w:marLeft w:val="0"/>
      <w:marRight w:val="0"/>
      <w:marTop w:val="0"/>
      <w:marBottom w:val="0"/>
      <w:divBdr>
        <w:top w:val="none" w:sz="0" w:space="0" w:color="auto"/>
        <w:left w:val="none" w:sz="0" w:space="0" w:color="auto"/>
        <w:bottom w:val="none" w:sz="0" w:space="0" w:color="auto"/>
        <w:right w:val="none" w:sz="0" w:space="0" w:color="auto"/>
      </w:divBdr>
    </w:div>
    <w:div w:id="1093280986">
      <w:bodyDiv w:val="1"/>
      <w:marLeft w:val="0"/>
      <w:marRight w:val="0"/>
      <w:marTop w:val="0"/>
      <w:marBottom w:val="0"/>
      <w:divBdr>
        <w:top w:val="none" w:sz="0" w:space="0" w:color="auto"/>
        <w:left w:val="none" w:sz="0" w:space="0" w:color="auto"/>
        <w:bottom w:val="none" w:sz="0" w:space="0" w:color="auto"/>
        <w:right w:val="none" w:sz="0" w:space="0" w:color="auto"/>
      </w:divBdr>
      <w:divsChild>
        <w:div w:id="2083604323">
          <w:marLeft w:val="0"/>
          <w:marRight w:val="0"/>
          <w:marTop w:val="0"/>
          <w:marBottom w:val="0"/>
          <w:divBdr>
            <w:top w:val="none" w:sz="0" w:space="0" w:color="auto"/>
            <w:left w:val="none" w:sz="0" w:space="0" w:color="auto"/>
            <w:bottom w:val="none" w:sz="0" w:space="0" w:color="auto"/>
            <w:right w:val="none" w:sz="0" w:space="0" w:color="auto"/>
          </w:divBdr>
          <w:divsChild>
            <w:div w:id="1173255333">
              <w:marLeft w:val="0"/>
              <w:marRight w:val="0"/>
              <w:marTop w:val="0"/>
              <w:marBottom w:val="0"/>
              <w:divBdr>
                <w:top w:val="none" w:sz="0" w:space="0" w:color="auto"/>
                <w:left w:val="none" w:sz="0" w:space="0" w:color="auto"/>
                <w:bottom w:val="none" w:sz="0" w:space="0" w:color="auto"/>
                <w:right w:val="none" w:sz="0" w:space="0" w:color="auto"/>
              </w:divBdr>
              <w:divsChild>
                <w:div w:id="12154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328112">
      <w:bodyDiv w:val="1"/>
      <w:marLeft w:val="0"/>
      <w:marRight w:val="0"/>
      <w:marTop w:val="0"/>
      <w:marBottom w:val="0"/>
      <w:divBdr>
        <w:top w:val="none" w:sz="0" w:space="0" w:color="auto"/>
        <w:left w:val="none" w:sz="0" w:space="0" w:color="auto"/>
        <w:bottom w:val="none" w:sz="0" w:space="0" w:color="auto"/>
        <w:right w:val="none" w:sz="0" w:space="0" w:color="auto"/>
      </w:divBdr>
      <w:divsChild>
        <w:div w:id="1327979742">
          <w:marLeft w:val="0"/>
          <w:marRight w:val="0"/>
          <w:marTop w:val="0"/>
          <w:marBottom w:val="0"/>
          <w:divBdr>
            <w:top w:val="none" w:sz="0" w:space="0" w:color="auto"/>
            <w:left w:val="none" w:sz="0" w:space="0" w:color="auto"/>
            <w:bottom w:val="none" w:sz="0" w:space="0" w:color="auto"/>
            <w:right w:val="none" w:sz="0" w:space="0" w:color="auto"/>
          </w:divBdr>
          <w:divsChild>
            <w:div w:id="1285430913">
              <w:marLeft w:val="0"/>
              <w:marRight w:val="0"/>
              <w:marTop w:val="0"/>
              <w:marBottom w:val="0"/>
              <w:divBdr>
                <w:top w:val="none" w:sz="0" w:space="0" w:color="auto"/>
                <w:left w:val="none" w:sz="0" w:space="0" w:color="auto"/>
                <w:bottom w:val="none" w:sz="0" w:space="0" w:color="auto"/>
                <w:right w:val="none" w:sz="0" w:space="0" w:color="auto"/>
              </w:divBdr>
              <w:divsChild>
                <w:div w:id="18397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856804">
      <w:bodyDiv w:val="1"/>
      <w:marLeft w:val="0"/>
      <w:marRight w:val="0"/>
      <w:marTop w:val="0"/>
      <w:marBottom w:val="0"/>
      <w:divBdr>
        <w:top w:val="none" w:sz="0" w:space="0" w:color="auto"/>
        <w:left w:val="none" w:sz="0" w:space="0" w:color="auto"/>
        <w:bottom w:val="none" w:sz="0" w:space="0" w:color="auto"/>
        <w:right w:val="none" w:sz="0" w:space="0" w:color="auto"/>
      </w:divBdr>
    </w:div>
    <w:div w:id="1096252000">
      <w:bodyDiv w:val="1"/>
      <w:marLeft w:val="0"/>
      <w:marRight w:val="0"/>
      <w:marTop w:val="0"/>
      <w:marBottom w:val="0"/>
      <w:divBdr>
        <w:top w:val="none" w:sz="0" w:space="0" w:color="auto"/>
        <w:left w:val="none" w:sz="0" w:space="0" w:color="auto"/>
        <w:bottom w:val="none" w:sz="0" w:space="0" w:color="auto"/>
        <w:right w:val="none" w:sz="0" w:space="0" w:color="auto"/>
      </w:divBdr>
    </w:div>
    <w:div w:id="1100099187">
      <w:bodyDiv w:val="1"/>
      <w:marLeft w:val="0"/>
      <w:marRight w:val="0"/>
      <w:marTop w:val="0"/>
      <w:marBottom w:val="0"/>
      <w:divBdr>
        <w:top w:val="none" w:sz="0" w:space="0" w:color="auto"/>
        <w:left w:val="none" w:sz="0" w:space="0" w:color="auto"/>
        <w:bottom w:val="none" w:sz="0" w:space="0" w:color="auto"/>
        <w:right w:val="none" w:sz="0" w:space="0" w:color="auto"/>
      </w:divBdr>
    </w:div>
    <w:div w:id="1109546005">
      <w:bodyDiv w:val="1"/>
      <w:marLeft w:val="0"/>
      <w:marRight w:val="0"/>
      <w:marTop w:val="0"/>
      <w:marBottom w:val="0"/>
      <w:divBdr>
        <w:top w:val="none" w:sz="0" w:space="0" w:color="auto"/>
        <w:left w:val="none" w:sz="0" w:space="0" w:color="auto"/>
        <w:bottom w:val="none" w:sz="0" w:space="0" w:color="auto"/>
        <w:right w:val="none" w:sz="0" w:space="0" w:color="auto"/>
      </w:divBdr>
    </w:div>
    <w:div w:id="1113357180">
      <w:bodyDiv w:val="1"/>
      <w:marLeft w:val="0"/>
      <w:marRight w:val="0"/>
      <w:marTop w:val="0"/>
      <w:marBottom w:val="0"/>
      <w:divBdr>
        <w:top w:val="none" w:sz="0" w:space="0" w:color="auto"/>
        <w:left w:val="none" w:sz="0" w:space="0" w:color="auto"/>
        <w:bottom w:val="none" w:sz="0" w:space="0" w:color="auto"/>
        <w:right w:val="none" w:sz="0" w:space="0" w:color="auto"/>
      </w:divBdr>
    </w:div>
    <w:div w:id="1118648449">
      <w:bodyDiv w:val="1"/>
      <w:marLeft w:val="0"/>
      <w:marRight w:val="0"/>
      <w:marTop w:val="0"/>
      <w:marBottom w:val="0"/>
      <w:divBdr>
        <w:top w:val="none" w:sz="0" w:space="0" w:color="auto"/>
        <w:left w:val="none" w:sz="0" w:space="0" w:color="auto"/>
        <w:bottom w:val="none" w:sz="0" w:space="0" w:color="auto"/>
        <w:right w:val="none" w:sz="0" w:space="0" w:color="auto"/>
      </w:divBdr>
      <w:divsChild>
        <w:div w:id="1155342927">
          <w:marLeft w:val="0"/>
          <w:marRight w:val="0"/>
          <w:marTop w:val="0"/>
          <w:marBottom w:val="0"/>
          <w:divBdr>
            <w:top w:val="none" w:sz="0" w:space="0" w:color="auto"/>
            <w:left w:val="none" w:sz="0" w:space="0" w:color="auto"/>
            <w:bottom w:val="none" w:sz="0" w:space="0" w:color="auto"/>
            <w:right w:val="none" w:sz="0" w:space="0" w:color="auto"/>
          </w:divBdr>
          <w:divsChild>
            <w:div w:id="776100892">
              <w:marLeft w:val="0"/>
              <w:marRight w:val="0"/>
              <w:marTop w:val="0"/>
              <w:marBottom w:val="0"/>
              <w:divBdr>
                <w:top w:val="none" w:sz="0" w:space="0" w:color="auto"/>
                <w:left w:val="none" w:sz="0" w:space="0" w:color="auto"/>
                <w:bottom w:val="none" w:sz="0" w:space="0" w:color="auto"/>
                <w:right w:val="none" w:sz="0" w:space="0" w:color="auto"/>
              </w:divBdr>
              <w:divsChild>
                <w:div w:id="44820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87038">
      <w:bodyDiv w:val="1"/>
      <w:marLeft w:val="0"/>
      <w:marRight w:val="0"/>
      <w:marTop w:val="0"/>
      <w:marBottom w:val="0"/>
      <w:divBdr>
        <w:top w:val="none" w:sz="0" w:space="0" w:color="auto"/>
        <w:left w:val="none" w:sz="0" w:space="0" w:color="auto"/>
        <w:bottom w:val="none" w:sz="0" w:space="0" w:color="auto"/>
        <w:right w:val="none" w:sz="0" w:space="0" w:color="auto"/>
      </w:divBdr>
    </w:div>
    <w:div w:id="1122070254">
      <w:bodyDiv w:val="1"/>
      <w:marLeft w:val="0"/>
      <w:marRight w:val="0"/>
      <w:marTop w:val="0"/>
      <w:marBottom w:val="0"/>
      <w:divBdr>
        <w:top w:val="none" w:sz="0" w:space="0" w:color="auto"/>
        <w:left w:val="none" w:sz="0" w:space="0" w:color="auto"/>
        <w:bottom w:val="none" w:sz="0" w:space="0" w:color="auto"/>
        <w:right w:val="none" w:sz="0" w:space="0" w:color="auto"/>
      </w:divBdr>
    </w:div>
    <w:div w:id="1122502272">
      <w:bodyDiv w:val="1"/>
      <w:marLeft w:val="0"/>
      <w:marRight w:val="0"/>
      <w:marTop w:val="0"/>
      <w:marBottom w:val="0"/>
      <w:divBdr>
        <w:top w:val="none" w:sz="0" w:space="0" w:color="auto"/>
        <w:left w:val="none" w:sz="0" w:space="0" w:color="auto"/>
        <w:bottom w:val="none" w:sz="0" w:space="0" w:color="auto"/>
        <w:right w:val="none" w:sz="0" w:space="0" w:color="auto"/>
      </w:divBdr>
      <w:divsChild>
        <w:div w:id="186337797">
          <w:marLeft w:val="0"/>
          <w:marRight w:val="0"/>
          <w:marTop w:val="0"/>
          <w:marBottom w:val="0"/>
          <w:divBdr>
            <w:top w:val="none" w:sz="0" w:space="0" w:color="auto"/>
            <w:left w:val="none" w:sz="0" w:space="0" w:color="auto"/>
            <w:bottom w:val="none" w:sz="0" w:space="0" w:color="auto"/>
            <w:right w:val="none" w:sz="0" w:space="0" w:color="auto"/>
          </w:divBdr>
          <w:divsChild>
            <w:div w:id="1238591402">
              <w:marLeft w:val="0"/>
              <w:marRight w:val="0"/>
              <w:marTop w:val="0"/>
              <w:marBottom w:val="0"/>
              <w:divBdr>
                <w:top w:val="none" w:sz="0" w:space="0" w:color="auto"/>
                <w:left w:val="none" w:sz="0" w:space="0" w:color="auto"/>
                <w:bottom w:val="none" w:sz="0" w:space="0" w:color="auto"/>
                <w:right w:val="none" w:sz="0" w:space="0" w:color="auto"/>
              </w:divBdr>
              <w:divsChild>
                <w:div w:id="191477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547689">
      <w:bodyDiv w:val="1"/>
      <w:marLeft w:val="0"/>
      <w:marRight w:val="0"/>
      <w:marTop w:val="0"/>
      <w:marBottom w:val="0"/>
      <w:divBdr>
        <w:top w:val="none" w:sz="0" w:space="0" w:color="auto"/>
        <w:left w:val="none" w:sz="0" w:space="0" w:color="auto"/>
        <w:bottom w:val="none" w:sz="0" w:space="0" w:color="auto"/>
        <w:right w:val="none" w:sz="0" w:space="0" w:color="auto"/>
      </w:divBdr>
    </w:div>
    <w:div w:id="1132333906">
      <w:bodyDiv w:val="1"/>
      <w:marLeft w:val="0"/>
      <w:marRight w:val="0"/>
      <w:marTop w:val="0"/>
      <w:marBottom w:val="0"/>
      <w:divBdr>
        <w:top w:val="none" w:sz="0" w:space="0" w:color="auto"/>
        <w:left w:val="none" w:sz="0" w:space="0" w:color="auto"/>
        <w:bottom w:val="none" w:sz="0" w:space="0" w:color="auto"/>
        <w:right w:val="none" w:sz="0" w:space="0" w:color="auto"/>
      </w:divBdr>
      <w:divsChild>
        <w:div w:id="362443102">
          <w:marLeft w:val="0"/>
          <w:marRight w:val="0"/>
          <w:marTop w:val="0"/>
          <w:marBottom w:val="0"/>
          <w:divBdr>
            <w:top w:val="none" w:sz="0" w:space="0" w:color="auto"/>
            <w:left w:val="none" w:sz="0" w:space="0" w:color="auto"/>
            <w:bottom w:val="none" w:sz="0" w:space="0" w:color="auto"/>
            <w:right w:val="none" w:sz="0" w:space="0" w:color="auto"/>
          </w:divBdr>
        </w:div>
      </w:divsChild>
    </w:div>
    <w:div w:id="1132746888">
      <w:bodyDiv w:val="1"/>
      <w:marLeft w:val="0"/>
      <w:marRight w:val="0"/>
      <w:marTop w:val="0"/>
      <w:marBottom w:val="0"/>
      <w:divBdr>
        <w:top w:val="none" w:sz="0" w:space="0" w:color="auto"/>
        <w:left w:val="none" w:sz="0" w:space="0" w:color="auto"/>
        <w:bottom w:val="none" w:sz="0" w:space="0" w:color="auto"/>
        <w:right w:val="none" w:sz="0" w:space="0" w:color="auto"/>
      </w:divBdr>
    </w:div>
    <w:div w:id="1145733044">
      <w:bodyDiv w:val="1"/>
      <w:marLeft w:val="0"/>
      <w:marRight w:val="0"/>
      <w:marTop w:val="0"/>
      <w:marBottom w:val="0"/>
      <w:divBdr>
        <w:top w:val="none" w:sz="0" w:space="0" w:color="auto"/>
        <w:left w:val="none" w:sz="0" w:space="0" w:color="auto"/>
        <w:bottom w:val="none" w:sz="0" w:space="0" w:color="auto"/>
        <w:right w:val="none" w:sz="0" w:space="0" w:color="auto"/>
      </w:divBdr>
    </w:div>
    <w:div w:id="1146318353">
      <w:bodyDiv w:val="1"/>
      <w:marLeft w:val="0"/>
      <w:marRight w:val="0"/>
      <w:marTop w:val="0"/>
      <w:marBottom w:val="0"/>
      <w:divBdr>
        <w:top w:val="none" w:sz="0" w:space="0" w:color="auto"/>
        <w:left w:val="none" w:sz="0" w:space="0" w:color="auto"/>
        <w:bottom w:val="none" w:sz="0" w:space="0" w:color="auto"/>
        <w:right w:val="none" w:sz="0" w:space="0" w:color="auto"/>
      </w:divBdr>
      <w:divsChild>
        <w:div w:id="184828501">
          <w:marLeft w:val="0"/>
          <w:marRight w:val="0"/>
          <w:marTop w:val="0"/>
          <w:marBottom w:val="0"/>
          <w:divBdr>
            <w:top w:val="none" w:sz="0" w:space="0" w:color="auto"/>
            <w:left w:val="none" w:sz="0" w:space="0" w:color="auto"/>
            <w:bottom w:val="none" w:sz="0" w:space="0" w:color="auto"/>
            <w:right w:val="none" w:sz="0" w:space="0" w:color="auto"/>
          </w:divBdr>
        </w:div>
      </w:divsChild>
    </w:div>
    <w:div w:id="1152598933">
      <w:bodyDiv w:val="1"/>
      <w:marLeft w:val="0"/>
      <w:marRight w:val="0"/>
      <w:marTop w:val="0"/>
      <w:marBottom w:val="0"/>
      <w:divBdr>
        <w:top w:val="none" w:sz="0" w:space="0" w:color="auto"/>
        <w:left w:val="none" w:sz="0" w:space="0" w:color="auto"/>
        <w:bottom w:val="none" w:sz="0" w:space="0" w:color="auto"/>
        <w:right w:val="none" w:sz="0" w:space="0" w:color="auto"/>
      </w:divBdr>
    </w:div>
    <w:div w:id="1172914540">
      <w:bodyDiv w:val="1"/>
      <w:marLeft w:val="0"/>
      <w:marRight w:val="0"/>
      <w:marTop w:val="0"/>
      <w:marBottom w:val="0"/>
      <w:divBdr>
        <w:top w:val="none" w:sz="0" w:space="0" w:color="auto"/>
        <w:left w:val="none" w:sz="0" w:space="0" w:color="auto"/>
        <w:bottom w:val="none" w:sz="0" w:space="0" w:color="auto"/>
        <w:right w:val="none" w:sz="0" w:space="0" w:color="auto"/>
      </w:divBdr>
    </w:div>
    <w:div w:id="1192036660">
      <w:bodyDiv w:val="1"/>
      <w:marLeft w:val="0"/>
      <w:marRight w:val="0"/>
      <w:marTop w:val="0"/>
      <w:marBottom w:val="0"/>
      <w:divBdr>
        <w:top w:val="none" w:sz="0" w:space="0" w:color="auto"/>
        <w:left w:val="none" w:sz="0" w:space="0" w:color="auto"/>
        <w:bottom w:val="none" w:sz="0" w:space="0" w:color="auto"/>
        <w:right w:val="none" w:sz="0" w:space="0" w:color="auto"/>
      </w:divBdr>
    </w:div>
    <w:div w:id="1202862377">
      <w:bodyDiv w:val="1"/>
      <w:marLeft w:val="0"/>
      <w:marRight w:val="0"/>
      <w:marTop w:val="0"/>
      <w:marBottom w:val="0"/>
      <w:divBdr>
        <w:top w:val="none" w:sz="0" w:space="0" w:color="auto"/>
        <w:left w:val="none" w:sz="0" w:space="0" w:color="auto"/>
        <w:bottom w:val="none" w:sz="0" w:space="0" w:color="auto"/>
        <w:right w:val="none" w:sz="0" w:space="0" w:color="auto"/>
      </w:divBdr>
    </w:div>
    <w:div w:id="1207984603">
      <w:bodyDiv w:val="1"/>
      <w:marLeft w:val="0"/>
      <w:marRight w:val="0"/>
      <w:marTop w:val="0"/>
      <w:marBottom w:val="0"/>
      <w:divBdr>
        <w:top w:val="none" w:sz="0" w:space="0" w:color="auto"/>
        <w:left w:val="none" w:sz="0" w:space="0" w:color="auto"/>
        <w:bottom w:val="none" w:sz="0" w:space="0" w:color="auto"/>
        <w:right w:val="none" w:sz="0" w:space="0" w:color="auto"/>
      </w:divBdr>
    </w:div>
    <w:div w:id="1217426594">
      <w:bodyDiv w:val="1"/>
      <w:marLeft w:val="0"/>
      <w:marRight w:val="0"/>
      <w:marTop w:val="0"/>
      <w:marBottom w:val="0"/>
      <w:divBdr>
        <w:top w:val="none" w:sz="0" w:space="0" w:color="auto"/>
        <w:left w:val="none" w:sz="0" w:space="0" w:color="auto"/>
        <w:bottom w:val="none" w:sz="0" w:space="0" w:color="auto"/>
        <w:right w:val="none" w:sz="0" w:space="0" w:color="auto"/>
      </w:divBdr>
      <w:divsChild>
        <w:div w:id="1565945332">
          <w:marLeft w:val="0"/>
          <w:marRight w:val="0"/>
          <w:marTop w:val="0"/>
          <w:marBottom w:val="0"/>
          <w:divBdr>
            <w:top w:val="none" w:sz="0" w:space="0" w:color="auto"/>
            <w:left w:val="none" w:sz="0" w:space="0" w:color="auto"/>
            <w:bottom w:val="none" w:sz="0" w:space="0" w:color="auto"/>
            <w:right w:val="none" w:sz="0" w:space="0" w:color="auto"/>
          </w:divBdr>
          <w:divsChild>
            <w:div w:id="1091659472">
              <w:marLeft w:val="0"/>
              <w:marRight w:val="0"/>
              <w:marTop w:val="0"/>
              <w:marBottom w:val="0"/>
              <w:divBdr>
                <w:top w:val="none" w:sz="0" w:space="0" w:color="auto"/>
                <w:left w:val="none" w:sz="0" w:space="0" w:color="auto"/>
                <w:bottom w:val="none" w:sz="0" w:space="0" w:color="auto"/>
                <w:right w:val="none" w:sz="0" w:space="0" w:color="auto"/>
              </w:divBdr>
              <w:divsChild>
                <w:div w:id="14561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49330">
      <w:bodyDiv w:val="1"/>
      <w:marLeft w:val="0"/>
      <w:marRight w:val="0"/>
      <w:marTop w:val="0"/>
      <w:marBottom w:val="0"/>
      <w:divBdr>
        <w:top w:val="none" w:sz="0" w:space="0" w:color="auto"/>
        <w:left w:val="none" w:sz="0" w:space="0" w:color="auto"/>
        <w:bottom w:val="none" w:sz="0" w:space="0" w:color="auto"/>
        <w:right w:val="none" w:sz="0" w:space="0" w:color="auto"/>
      </w:divBdr>
    </w:div>
    <w:div w:id="1227033325">
      <w:bodyDiv w:val="1"/>
      <w:marLeft w:val="0"/>
      <w:marRight w:val="0"/>
      <w:marTop w:val="0"/>
      <w:marBottom w:val="0"/>
      <w:divBdr>
        <w:top w:val="none" w:sz="0" w:space="0" w:color="auto"/>
        <w:left w:val="none" w:sz="0" w:space="0" w:color="auto"/>
        <w:bottom w:val="none" w:sz="0" w:space="0" w:color="auto"/>
        <w:right w:val="none" w:sz="0" w:space="0" w:color="auto"/>
      </w:divBdr>
    </w:div>
    <w:div w:id="1233347271">
      <w:bodyDiv w:val="1"/>
      <w:marLeft w:val="0"/>
      <w:marRight w:val="0"/>
      <w:marTop w:val="0"/>
      <w:marBottom w:val="0"/>
      <w:divBdr>
        <w:top w:val="none" w:sz="0" w:space="0" w:color="auto"/>
        <w:left w:val="none" w:sz="0" w:space="0" w:color="auto"/>
        <w:bottom w:val="none" w:sz="0" w:space="0" w:color="auto"/>
        <w:right w:val="none" w:sz="0" w:space="0" w:color="auto"/>
      </w:divBdr>
    </w:div>
    <w:div w:id="1242135950">
      <w:bodyDiv w:val="1"/>
      <w:marLeft w:val="0"/>
      <w:marRight w:val="0"/>
      <w:marTop w:val="0"/>
      <w:marBottom w:val="0"/>
      <w:divBdr>
        <w:top w:val="none" w:sz="0" w:space="0" w:color="auto"/>
        <w:left w:val="none" w:sz="0" w:space="0" w:color="auto"/>
        <w:bottom w:val="none" w:sz="0" w:space="0" w:color="auto"/>
        <w:right w:val="none" w:sz="0" w:space="0" w:color="auto"/>
      </w:divBdr>
    </w:div>
    <w:div w:id="1242372801">
      <w:bodyDiv w:val="1"/>
      <w:marLeft w:val="0"/>
      <w:marRight w:val="0"/>
      <w:marTop w:val="0"/>
      <w:marBottom w:val="0"/>
      <w:divBdr>
        <w:top w:val="none" w:sz="0" w:space="0" w:color="auto"/>
        <w:left w:val="none" w:sz="0" w:space="0" w:color="auto"/>
        <w:bottom w:val="none" w:sz="0" w:space="0" w:color="auto"/>
        <w:right w:val="none" w:sz="0" w:space="0" w:color="auto"/>
      </w:divBdr>
    </w:div>
    <w:div w:id="1244337249">
      <w:bodyDiv w:val="1"/>
      <w:marLeft w:val="0"/>
      <w:marRight w:val="0"/>
      <w:marTop w:val="0"/>
      <w:marBottom w:val="0"/>
      <w:divBdr>
        <w:top w:val="none" w:sz="0" w:space="0" w:color="auto"/>
        <w:left w:val="none" w:sz="0" w:space="0" w:color="auto"/>
        <w:bottom w:val="none" w:sz="0" w:space="0" w:color="auto"/>
        <w:right w:val="none" w:sz="0" w:space="0" w:color="auto"/>
      </w:divBdr>
    </w:div>
    <w:div w:id="1251739986">
      <w:bodyDiv w:val="1"/>
      <w:marLeft w:val="0"/>
      <w:marRight w:val="0"/>
      <w:marTop w:val="0"/>
      <w:marBottom w:val="0"/>
      <w:divBdr>
        <w:top w:val="none" w:sz="0" w:space="0" w:color="auto"/>
        <w:left w:val="none" w:sz="0" w:space="0" w:color="auto"/>
        <w:bottom w:val="none" w:sz="0" w:space="0" w:color="auto"/>
        <w:right w:val="none" w:sz="0" w:space="0" w:color="auto"/>
      </w:divBdr>
    </w:div>
    <w:div w:id="1257665237">
      <w:bodyDiv w:val="1"/>
      <w:marLeft w:val="0"/>
      <w:marRight w:val="0"/>
      <w:marTop w:val="0"/>
      <w:marBottom w:val="0"/>
      <w:divBdr>
        <w:top w:val="none" w:sz="0" w:space="0" w:color="auto"/>
        <w:left w:val="none" w:sz="0" w:space="0" w:color="auto"/>
        <w:bottom w:val="none" w:sz="0" w:space="0" w:color="auto"/>
        <w:right w:val="none" w:sz="0" w:space="0" w:color="auto"/>
      </w:divBdr>
    </w:div>
    <w:div w:id="1260219733">
      <w:bodyDiv w:val="1"/>
      <w:marLeft w:val="0"/>
      <w:marRight w:val="0"/>
      <w:marTop w:val="0"/>
      <w:marBottom w:val="0"/>
      <w:divBdr>
        <w:top w:val="none" w:sz="0" w:space="0" w:color="auto"/>
        <w:left w:val="none" w:sz="0" w:space="0" w:color="auto"/>
        <w:bottom w:val="none" w:sz="0" w:space="0" w:color="auto"/>
        <w:right w:val="none" w:sz="0" w:space="0" w:color="auto"/>
      </w:divBdr>
      <w:divsChild>
        <w:div w:id="857548511">
          <w:marLeft w:val="0"/>
          <w:marRight w:val="0"/>
          <w:marTop w:val="0"/>
          <w:marBottom w:val="0"/>
          <w:divBdr>
            <w:top w:val="none" w:sz="0" w:space="0" w:color="auto"/>
            <w:left w:val="none" w:sz="0" w:space="0" w:color="auto"/>
            <w:bottom w:val="none" w:sz="0" w:space="0" w:color="auto"/>
            <w:right w:val="none" w:sz="0" w:space="0" w:color="auto"/>
          </w:divBdr>
          <w:divsChild>
            <w:div w:id="592857091">
              <w:marLeft w:val="0"/>
              <w:marRight w:val="0"/>
              <w:marTop w:val="0"/>
              <w:marBottom w:val="0"/>
              <w:divBdr>
                <w:top w:val="none" w:sz="0" w:space="0" w:color="auto"/>
                <w:left w:val="none" w:sz="0" w:space="0" w:color="auto"/>
                <w:bottom w:val="none" w:sz="0" w:space="0" w:color="auto"/>
                <w:right w:val="none" w:sz="0" w:space="0" w:color="auto"/>
              </w:divBdr>
              <w:divsChild>
                <w:div w:id="1439909050">
                  <w:marLeft w:val="0"/>
                  <w:marRight w:val="0"/>
                  <w:marTop w:val="0"/>
                  <w:marBottom w:val="0"/>
                  <w:divBdr>
                    <w:top w:val="none" w:sz="0" w:space="0" w:color="auto"/>
                    <w:left w:val="none" w:sz="0" w:space="0" w:color="auto"/>
                    <w:bottom w:val="none" w:sz="0" w:space="0" w:color="auto"/>
                    <w:right w:val="none" w:sz="0" w:space="0" w:color="auto"/>
                  </w:divBdr>
                  <w:divsChild>
                    <w:div w:id="210707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55931">
      <w:bodyDiv w:val="1"/>
      <w:marLeft w:val="0"/>
      <w:marRight w:val="0"/>
      <w:marTop w:val="0"/>
      <w:marBottom w:val="0"/>
      <w:divBdr>
        <w:top w:val="none" w:sz="0" w:space="0" w:color="auto"/>
        <w:left w:val="none" w:sz="0" w:space="0" w:color="auto"/>
        <w:bottom w:val="none" w:sz="0" w:space="0" w:color="auto"/>
        <w:right w:val="none" w:sz="0" w:space="0" w:color="auto"/>
      </w:divBdr>
      <w:divsChild>
        <w:div w:id="2061323745">
          <w:marLeft w:val="0"/>
          <w:marRight w:val="0"/>
          <w:marTop w:val="0"/>
          <w:marBottom w:val="0"/>
          <w:divBdr>
            <w:top w:val="none" w:sz="0" w:space="0" w:color="auto"/>
            <w:left w:val="none" w:sz="0" w:space="0" w:color="auto"/>
            <w:bottom w:val="none" w:sz="0" w:space="0" w:color="auto"/>
            <w:right w:val="none" w:sz="0" w:space="0" w:color="auto"/>
          </w:divBdr>
          <w:divsChild>
            <w:div w:id="688532283">
              <w:marLeft w:val="0"/>
              <w:marRight w:val="0"/>
              <w:marTop w:val="0"/>
              <w:marBottom w:val="0"/>
              <w:divBdr>
                <w:top w:val="none" w:sz="0" w:space="0" w:color="auto"/>
                <w:left w:val="none" w:sz="0" w:space="0" w:color="auto"/>
                <w:bottom w:val="none" w:sz="0" w:space="0" w:color="auto"/>
                <w:right w:val="none" w:sz="0" w:space="0" w:color="auto"/>
              </w:divBdr>
              <w:divsChild>
                <w:div w:id="30620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17094">
      <w:bodyDiv w:val="1"/>
      <w:marLeft w:val="0"/>
      <w:marRight w:val="0"/>
      <w:marTop w:val="0"/>
      <w:marBottom w:val="0"/>
      <w:divBdr>
        <w:top w:val="none" w:sz="0" w:space="0" w:color="auto"/>
        <w:left w:val="none" w:sz="0" w:space="0" w:color="auto"/>
        <w:bottom w:val="none" w:sz="0" w:space="0" w:color="auto"/>
        <w:right w:val="none" w:sz="0" w:space="0" w:color="auto"/>
      </w:divBdr>
      <w:divsChild>
        <w:div w:id="8657938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73396156">
      <w:bodyDiv w:val="1"/>
      <w:marLeft w:val="0"/>
      <w:marRight w:val="0"/>
      <w:marTop w:val="0"/>
      <w:marBottom w:val="0"/>
      <w:divBdr>
        <w:top w:val="none" w:sz="0" w:space="0" w:color="auto"/>
        <w:left w:val="none" w:sz="0" w:space="0" w:color="auto"/>
        <w:bottom w:val="none" w:sz="0" w:space="0" w:color="auto"/>
        <w:right w:val="none" w:sz="0" w:space="0" w:color="auto"/>
      </w:divBdr>
    </w:div>
    <w:div w:id="1278760785">
      <w:bodyDiv w:val="1"/>
      <w:marLeft w:val="0"/>
      <w:marRight w:val="0"/>
      <w:marTop w:val="0"/>
      <w:marBottom w:val="0"/>
      <w:divBdr>
        <w:top w:val="none" w:sz="0" w:space="0" w:color="auto"/>
        <w:left w:val="none" w:sz="0" w:space="0" w:color="auto"/>
        <w:bottom w:val="none" w:sz="0" w:space="0" w:color="auto"/>
        <w:right w:val="none" w:sz="0" w:space="0" w:color="auto"/>
      </w:divBdr>
    </w:div>
    <w:div w:id="1279754015">
      <w:bodyDiv w:val="1"/>
      <w:marLeft w:val="0"/>
      <w:marRight w:val="0"/>
      <w:marTop w:val="0"/>
      <w:marBottom w:val="0"/>
      <w:divBdr>
        <w:top w:val="none" w:sz="0" w:space="0" w:color="auto"/>
        <w:left w:val="none" w:sz="0" w:space="0" w:color="auto"/>
        <w:bottom w:val="none" w:sz="0" w:space="0" w:color="auto"/>
        <w:right w:val="none" w:sz="0" w:space="0" w:color="auto"/>
      </w:divBdr>
    </w:div>
    <w:div w:id="1284338206">
      <w:bodyDiv w:val="1"/>
      <w:marLeft w:val="0"/>
      <w:marRight w:val="0"/>
      <w:marTop w:val="0"/>
      <w:marBottom w:val="0"/>
      <w:divBdr>
        <w:top w:val="none" w:sz="0" w:space="0" w:color="auto"/>
        <w:left w:val="none" w:sz="0" w:space="0" w:color="auto"/>
        <w:bottom w:val="none" w:sz="0" w:space="0" w:color="auto"/>
        <w:right w:val="none" w:sz="0" w:space="0" w:color="auto"/>
      </w:divBdr>
    </w:div>
    <w:div w:id="1285115366">
      <w:bodyDiv w:val="1"/>
      <w:marLeft w:val="0"/>
      <w:marRight w:val="0"/>
      <w:marTop w:val="0"/>
      <w:marBottom w:val="0"/>
      <w:divBdr>
        <w:top w:val="none" w:sz="0" w:space="0" w:color="auto"/>
        <w:left w:val="none" w:sz="0" w:space="0" w:color="auto"/>
        <w:bottom w:val="none" w:sz="0" w:space="0" w:color="auto"/>
        <w:right w:val="none" w:sz="0" w:space="0" w:color="auto"/>
      </w:divBdr>
      <w:divsChild>
        <w:div w:id="926377464">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86690563">
      <w:bodyDiv w:val="1"/>
      <w:marLeft w:val="0"/>
      <w:marRight w:val="0"/>
      <w:marTop w:val="0"/>
      <w:marBottom w:val="0"/>
      <w:divBdr>
        <w:top w:val="none" w:sz="0" w:space="0" w:color="auto"/>
        <w:left w:val="none" w:sz="0" w:space="0" w:color="auto"/>
        <w:bottom w:val="none" w:sz="0" w:space="0" w:color="auto"/>
        <w:right w:val="none" w:sz="0" w:space="0" w:color="auto"/>
      </w:divBdr>
    </w:div>
    <w:div w:id="1291009306">
      <w:bodyDiv w:val="1"/>
      <w:marLeft w:val="0"/>
      <w:marRight w:val="0"/>
      <w:marTop w:val="0"/>
      <w:marBottom w:val="0"/>
      <w:divBdr>
        <w:top w:val="none" w:sz="0" w:space="0" w:color="auto"/>
        <w:left w:val="none" w:sz="0" w:space="0" w:color="auto"/>
        <w:bottom w:val="none" w:sz="0" w:space="0" w:color="auto"/>
        <w:right w:val="none" w:sz="0" w:space="0" w:color="auto"/>
      </w:divBdr>
    </w:div>
    <w:div w:id="1303198105">
      <w:bodyDiv w:val="1"/>
      <w:marLeft w:val="0"/>
      <w:marRight w:val="0"/>
      <w:marTop w:val="0"/>
      <w:marBottom w:val="0"/>
      <w:divBdr>
        <w:top w:val="none" w:sz="0" w:space="0" w:color="auto"/>
        <w:left w:val="none" w:sz="0" w:space="0" w:color="auto"/>
        <w:bottom w:val="none" w:sz="0" w:space="0" w:color="auto"/>
        <w:right w:val="none" w:sz="0" w:space="0" w:color="auto"/>
      </w:divBdr>
    </w:div>
    <w:div w:id="1306010154">
      <w:bodyDiv w:val="1"/>
      <w:marLeft w:val="0"/>
      <w:marRight w:val="0"/>
      <w:marTop w:val="0"/>
      <w:marBottom w:val="0"/>
      <w:divBdr>
        <w:top w:val="none" w:sz="0" w:space="0" w:color="auto"/>
        <w:left w:val="none" w:sz="0" w:space="0" w:color="auto"/>
        <w:bottom w:val="none" w:sz="0" w:space="0" w:color="auto"/>
        <w:right w:val="none" w:sz="0" w:space="0" w:color="auto"/>
      </w:divBdr>
    </w:div>
    <w:div w:id="1314025684">
      <w:bodyDiv w:val="1"/>
      <w:marLeft w:val="0"/>
      <w:marRight w:val="0"/>
      <w:marTop w:val="0"/>
      <w:marBottom w:val="0"/>
      <w:divBdr>
        <w:top w:val="none" w:sz="0" w:space="0" w:color="auto"/>
        <w:left w:val="none" w:sz="0" w:space="0" w:color="auto"/>
        <w:bottom w:val="none" w:sz="0" w:space="0" w:color="auto"/>
        <w:right w:val="none" w:sz="0" w:space="0" w:color="auto"/>
      </w:divBdr>
    </w:div>
    <w:div w:id="1317608277">
      <w:bodyDiv w:val="1"/>
      <w:marLeft w:val="0"/>
      <w:marRight w:val="0"/>
      <w:marTop w:val="0"/>
      <w:marBottom w:val="0"/>
      <w:divBdr>
        <w:top w:val="none" w:sz="0" w:space="0" w:color="auto"/>
        <w:left w:val="none" w:sz="0" w:space="0" w:color="auto"/>
        <w:bottom w:val="none" w:sz="0" w:space="0" w:color="auto"/>
        <w:right w:val="none" w:sz="0" w:space="0" w:color="auto"/>
      </w:divBdr>
    </w:div>
    <w:div w:id="1319648435">
      <w:bodyDiv w:val="1"/>
      <w:marLeft w:val="0"/>
      <w:marRight w:val="0"/>
      <w:marTop w:val="0"/>
      <w:marBottom w:val="0"/>
      <w:divBdr>
        <w:top w:val="none" w:sz="0" w:space="0" w:color="auto"/>
        <w:left w:val="none" w:sz="0" w:space="0" w:color="auto"/>
        <w:bottom w:val="none" w:sz="0" w:space="0" w:color="auto"/>
        <w:right w:val="none" w:sz="0" w:space="0" w:color="auto"/>
      </w:divBdr>
    </w:div>
    <w:div w:id="1328242418">
      <w:bodyDiv w:val="1"/>
      <w:marLeft w:val="0"/>
      <w:marRight w:val="0"/>
      <w:marTop w:val="0"/>
      <w:marBottom w:val="0"/>
      <w:divBdr>
        <w:top w:val="none" w:sz="0" w:space="0" w:color="auto"/>
        <w:left w:val="none" w:sz="0" w:space="0" w:color="auto"/>
        <w:bottom w:val="none" w:sz="0" w:space="0" w:color="auto"/>
        <w:right w:val="none" w:sz="0" w:space="0" w:color="auto"/>
      </w:divBdr>
      <w:divsChild>
        <w:div w:id="1539469235">
          <w:marLeft w:val="0"/>
          <w:marRight w:val="0"/>
          <w:marTop w:val="0"/>
          <w:marBottom w:val="0"/>
          <w:divBdr>
            <w:top w:val="none" w:sz="0" w:space="0" w:color="auto"/>
            <w:left w:val="none" w:sz="0" w:space="0" w:color="auto"/>
            <w:bottom w:val="none" w:sz="0" w:space="0" w:color="auto"/>
            <w:right w:val="none" w:sz="0" w:space="0" w:color="auto"/>
          </w:divBdr>
          <w:divsChild>
            <w:div w:id="1483346234">
              <w:marLeft w:val="0"/>
              <w:marRight w:val="0"/>
              <w:marTop w:val="0"/>
              <w:marBottom w:val="0"/>
              <w:divBdr>
                <w:top w:val="none" w:sz="0" w:space="0" w:color="auto"/>
                <w:left w:val="none" w:sz="0" w:space="0" w:color="auto"/>
                <w:bottom w:val="none" w:sz="0" w:space="0" w:color="auto"/>
                <w:right w:val="none" w:sz="0" w:space="0" w:color="auto"/>
              </w:divBdr>
              <w:divsChild>
                <w:div w:id="1652368148">
                  <w:marLeft w:val="0"/>
                  <w:marRight w:val="0"/>
                  <w:marTop w:val="0"/>
                  <w:marBottom w:val="0"/>
                  <w:divBdr>
                    <w:top w:val="none" w:sz="0" w:space="0" w:color="auto"/>
                    <w:left w:val="none" w:sz="0" w:space="0" w:color="auto"/>
                    <w:bottom w:val="none" w:sz="0" w:space="0" w:color="auto"/>
                    <w:right w:val="none" w:sz="0" w:space="0" w:color="auto"/>
                  </w:divBdr>
                  <w:divsChild>
                    <w:div w:id="5032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828452">
      <w:bodyDiv w:val="1"/>
      <w:marLeft w:val="0"/>
      <w:marRight w:val="0"/>
      <w:marTop w:val="0"/>
      <w:marBottom w:val="0"/>
      <w:divBdr>
        <w:top w:val="none" w:sz="0" w:space="0" w:color="auto"/>
        <w:left w:val="none" w:sz="0" w:space="0" w:color="auto"/>
        <w:bottom w:val="none" w:sz="0" w:space="0" w:color="auto"/>
        <w:right w:val="none" w:sz="0" w:space="0" w:color="auto"/>
      </w:divBdr>
    </w:div>
    <w:div w:id="1338456462">
      <w:bodyDiv w:val="1"/>
      <w:marLeft w:val="0"/>
      <w:marRight w:val="0"/>
      <w:marTop w:val="0"/>
      <w:marBottom w:val="0"/>
      <w:divBdr>
        <w:top w:val="none" w:sz="0" w:space="0" w:color="auto"/>
        <w:left w:val="none" w:sz="0" w:space="0" w:color="auto"/>
        <w:bottom w:val="none" w:sz="0" w:space="0" w:color="auto"/>
        <w:right w:val="none" w:sz="0" w:space="0" w:color="auto"/>
      </w:divBdr>
    </w:div>
    <w:div w:id="1343043931">
      <w:bodyDiv w:val="1"/>
      <w:marLeft w:val="0"/>
      <w:marRight w:val="0"/>
      <w:marTop w:val="0"/>
      <w:marBottom w:val="0"/>
      <w:divBdr>
        <w:top w:val="none" w:sz="0" w:space="0" w:color="auto"/>
        <w:left w:val="none" w:sz="0" w:space="0" w:color="auto"/>
        <w:bottom w:val="none" w:sz="0" w:space="0" w:color="auto"/>
        <w:right w:val="none" w:sz="0" w:space="0" w:color="auto"/>
      </w:divBdr>
    </w:div>
    <w:div w:id="1344088710">
      <w:bodyDiv w:val="1"/>
      <w:marLeft w:val="0"/>
      <w:marRight w:val="0"/>
      <w:marTop w:val="0"/>
      <w:marBottom w:val="0"/>
      <w:divBdr>
        <w:top w:val="none" w:sz="0" w:space="0" w:color="auto"/>
        <w:left w:val="none" w:sz="0" w:space="0" w:color="auto"/>
        <w:bottom w:val="none" w:sz="0" w:space="0" w:color="auto"/>
        <w:right w:val="none" w:sz="0" w:space="0" w:color="auto"/>
      </w:divBdr>
      <w:divsChild>
        <w:div w:id="444274141">
          <w:marLeft w:val="0"/>
          <w:marRight w:val="0"/>
          <w:marTop w:val="0"/>
          <w:marBottom w:val="0"/>
          <w:divBdr>
            <w:top w:val="none" w:sz="0" w:space="0" w:color="auto"/>
            <w:left w:val="none" w:sz="0" w:space="0" w:color="auto"/>
            <w:bottom w:val="none" w:sz="0" w:space="0" w:color="auto"/>
            <w:right w:val="none" w:sz="0" w:space="0" w:color="auto"/>
          </w:divBdr>
          <w:divsChild>
            <w:div w:id="602343398">
              <w:marLeft w:val="0"/>
              <w:marRight w:val="0"/>
              <w:marTop w:val="0"/>
              <w:marBottom w:val="0"/>
              <w:divBdr>
                <w:top w:val="none" w:sz="0" w:space="0" w:color="auto"/>
                <w:left w:val="none" w:sz="0" w:space="0" w:color="auto"/>
                <w:bottom w:val="none" w:sz="0" w:space="0" w:color="auto"/>
                <w:right w:val="none" w:sz="0" w:space="0" w:color="auto"/>
              </w:divBdr>
              <w:divsChild>
                <w:div w:id="1985889856">
                  <w:marLeft w:val="0"/>
                  <w:marRight w:val="0"/>
                  <w:marTop w:val="0"/>
                  <w:marBottom w:val="0"/>
                  <w:divBdr>
                    <w:top w:val="none" w:sz="0" w:space="0" w:color="auto"/>
                    <w:left w:val="none" w:sz="0" w:space="0" w:color="auto"/>
                    <w:bottom w:val="none" w:sz="0" w:space="0" w:color="auto"/>
                    <w:right w:val="none" w:sz="0" w:space="0" w:color="auto"/>
                  </w:divBdr>
                  <w:divsChild>
                    <w:div w:id="17931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61161">
      <w:bodyDiv w:val="1"/>
      <w:marLeft w:val="0"/>
      <w:marRight w:val="0"/>
      <w:marTop w:val="0"/>
      <w:marBottom w:val="0"/>
      <w:divBdr>
        <w:top w:val="none" w:sz="0" w:space="0" w:color="auto"/>
        <w:left w:val="none" w:sz="0" w:space="0" w:color="auto"/>
        <w:bottom w:val="none" w:sz="0" w:space="0" w:color="auto"/>
        <w:right w:val="none" w:sz="0" w:space="0" w:color="auto"/>
      </w:divBdr>
      <w:divsChild>
        <w:div w:id="2044865077">
          <w:marLeft w:val="0"/>
          <w:marRight w:val="0"/>
          <w:marTop w:val="0"/>
          <w:marBottom w:val="0"/>
          <w:divBdr>
            <w:top w:val="none" w:sz="0" w:space="0" w:color="auto"/>
            <w:left w:val="none" w:sz="0" w:space="0" w:color="auto"/>
            <w:bottom w:val="none" w:sz="0" w:space="0" w:color="auto"/>
            <w:right w:val="none" w:sz="0" w:space="0" w:color="auto"/>
          </w:divBdr>
        </w:div>
      </w:divsChild>
    </w:div>
    <w:div w:id="1349218137">
      <w:bodyDiv w:val="1"/>
      <w:marLeft w:val="0"/>
      <w:marRight w:val="0"/>
      <w:marTop w:val="0"/>
      <w:marBottom w:val="0"/>
      <w:divBdr>
        <w:top w:val="none" w:sz="0" w:space="0" w:color="auto"/>
        <w:left w:val="none" w:sz="0" w:space="0" w:color="auto"/>
        <w:bottom w:val="none" w:sz="0" w:space="0" w:color="auto"/>
        <w:right w:val="none" w:sz="0" w:space="0" w:color="auto"/>
      </w:divBdr>
    </w:div>
    <w:div w:id="1349452825">
      <w:bodyDiv w:val="1"/>
      <w:marLeft w:val="0"/>
      <w:marRight w:val="0"/>
      <w:marTop w:val="0"/>
      <w:marBottom w:val="0"/>
      <w:divBdr>
        <w:top w:val="none" w:sz="0" w:space="0" w:color="auto"/>
        <w:left w:val="none" w:sz="0" w:space="0" w:color="auto"/>
        <w:bottom w:val="none" w:sz="0" w:space="0" w:color="auto"/>
        <w:right w:val="none" w:sz="0" w:space="0" w:color="auto"/>
      </w:divBdr>
    </w:div>
    <w:div w:id="1356148673">
      <w:bodyDiv w:val="1"/>
      <w:marLeft w:val="0"/>
      <w:marRight w:val="0"/>
      <w:marTop w:val="0"/>
      <w:marBottom w:val="0"/>
      <w:divBdr>
        <w:top w:val="none" w:sz="0" w:space="0" w:color="auto"/>
        <w:left w:val="none" w:sz="0" w:space="0" w:color="auto"/>
        <w:bottom w:val="none" w:sz="0" w:space="0" w:color="auto"/>
        <w:right w:val="none" w:sz="0" w:space="0" w:color="auto"/>
      </w:divBdr>
    </w:div>
    <w:div w:id="1357390179">
      <w:bodyDiv w:val="1"/>
      <w:marLeft w:val="0"/>
      <w:marRight w:val="0"/>
      <w:marTop w:val="0"/>
      <w:marBottom w:val="0"/>
      <w:divBdr>
        <w:top w:val="none" w:sz="0" w:space="0" w:color="auto"/>
        <w:left w:val="none" w:sz="0" w:space="0" w:color="auto"/>
        <w:bottom w:val="none" w:sz="0" w:space="0" w:color="auto"/>
        <w:right w:val="none" w:sz="0" w:space="0" w:color="auto"/>
      </w:divBdr>
      <w:divsChild>
        <w:div w:id="2079475976">
          <w:marLeft w:val="0"/>
          <w:marRight w:val="0"/>
          <w:marTop w:val="0"/>
          <w:marBottom w:val="0"/>
          <w:divBdr>
            <w:top w:val="none" w:sz="0" w:space="0" w:color="auto"/>
            <w:left w:val="none" w:sz="0" w:space="0" w:color="auto"/>
            <w:bottom w:val="none" w:sz="0" w:space="0" w:color="auto"/>
            <w:right w:val="none" w:sz="0" w:space="0" w:color="auto"/>
          </w:divBdr>
          <w:divsChild>
            <w:div w:id="1511875457">
              <w:marLeft w:val="0"/>
              <w:marRight w:val="0"/>
              <w:marTop w:val="0"/>
              <w:marBottom w:val="0"/>
              <w:divBdr>
                <w:top w:val="none" w:sz="0" w:space="0" w:color="auto"/>
                <w:left w:val="none" w:sz="0" w:space="0" w:color="auto"/>
                <w:bottom w:val="none" w:sz="0" w:space="0" w:color="auto"/>
                <w:right w:val="none" w:sz="0" w:space="0" w:color="auto"/>
              </w:divBdr>
              <w:divsChild>
                <w:div w:id="212476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776745">
      <w:bodyDiv w:val="1"/>
      <w:marLeft w:val="0"/>
      <w:marRight w:val="0"/>
      <w:marTop w:val="0"/>
      <w:marBottom w:val="0"/>
      <w:divBdr>
        <w:top w:val="none" w:sz="0" w:space="0" w:color="auto"/>
        <w:left w:val="none" w:sz="0" w:space="0" w:color="auto"/>
        <w:bottom w:val="none" w:sz="0" w:space="0" w:color="auto"/>
        <w:right w:val="none" w:sz="0" w:space="0" w:color="auto"/>
      </w:divBdr>
    </w:div>
    <w:div w:id="1362584405">
      <w:bodyDiv w:val="1"/>
      <w:marLeft w:val="0"/>
      <w:marRight w:val="0"/>
      <w:marTop w:val="0"/>
      <w:marBottom w:val="0"/>
      <w:divBdr>
        <w:top w:val="none" w:sz="0" w:space="0" w:color="auto"/>
        <w:left w:val="none" w:sz="0" w:space="0" w:color="auto"/>
        <w:bottom w:val="none" w:sz="0" w:space="0" w:color="auto"/>
        <w:right w:val="none" w:sz="0" w:space="0" w:color="auto"/>
      </w:divBdr>
      <w:divsChild>
        <w:div w:id="1823354645">
          <w:marLeft w:val="0"/>
          <w:marRight w:val="0"/>
          <w:marTop w:val="0"/>
          <w:marBottom w:val="0"/>
          <w:divBdr>
            <w:top w:val="none" w:sz="0" w:space="0" w:color="auto"/>
            <w:left w:val="none" w:sz="0" w:space="0" w:color="auto"/>
            <w:bottom w:val="none" w:sz="0" w:space="0" w:color="auto"/>
            <w:right w:val="none" w:sz="0" w:space="0" w:color="auto"/>
          </w:divBdr>
          <w:divsChild>
            <w:div w:id="508835950">
              <w:marLeft w:val="0"/>
              <w:marRight w:val="0"/>
              <w:marTop w:val="0"/>
              <w:marBottom w:val="0"/>
              <w:divBdr>
                <w:top w:val="none" w:sz="0" w:space="0" w:color="auto"/>
                <w:left w:val="none" w:sz="0" w:space="0" w:color="auto"/>
                <w:bottom w:val="none" w:sz="0" w:space="0" w:color="auto"/>
                <w:right w:val="none" w:sz="0" w:space="0" w:color="auto"/>
              </w:divBdr>
              <w:divsChild>
                <w:div w:id="181305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14633">
      <w:bodyDiv w:val="1"/>
      <w:marLeft w:val="0"/>
      <w:marRight w:val="0"/>
      <w:marTop w:val="0"/>
      <w:marBottom w:val="0"/>
      <w:divBdr>
        <w:top w:val="none" w:sz="0" w:space="0" w:color="auto"/>
        <w:left w:val="none" w:sz="0" w:space="0" w:color="auto"/>
        <w:bottom w:val="none" w:sz="0" w:space="0" w:color="auto"/>
        <w:right w:val="none" w:sz="0" w:space="0" w:color="auto"/>
      </w:divBdr>
      <w:divsChild>
        <w:div w:id="1693415161">
          <w:marLeft w:val="0"/>
          <w:marRight w:val="0"/>
          <w:marTop w:val="0"/>
          <w:marBottom w:val="0"/>
          <w:divBdr>
            <w:top w:val="none" w:sz="0" w:space="0" w:color="auto"/>
            <w:left w:val="none" w:sz="0" w:space="0" w:color="auto"/>
            <w:bottom w:val="none" w:sz="0" w:space="0" w:color="auto"/>
            <w:right w:val="none" w:sz="0" w:space="0" w:color="auto"/>
          </w:divBdr>
          <w:divsChild>
            <w:div w:id="2118866649">
              <w:marLeft w:val="0"/>
              <w:marRight w:val="0"/>
              <w:marTop w:val="0"/>
              <w:marBottom w:val="0"/>
              <w:divBdr>
                <w:top w:val="none" w:sz="0" w:space="0" w:color="auto"/>
                <w:left w:val="none" w:sz="0" w:space="0" w:color="auto"/>
                <w:bottom w:val="none" w:sz="0" w:space="0" w:color="auto"/>
                <w:right w:val="none" w:sz="0" w:space="0" w:color="auto"/>
              </w:divBdr>
              <w:divsChild>
                <w:div w:id="213412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53820">
      <w:bodyDiv w:val="1"/>
      <w:marLeft w:val="0"/>
      <w:marRight w:val="0"/>
      <w:marTop w:val="0"/>
      <w:marBottom w:val="0"/>
      <w:divBdr>
        <w:top w:val="none" w:sz="0" w:space="0" w:color="auto"/>
        <w:left w:val="none" w:sz="0" w:space="0" w:color="auto"/>
        <w:bottom w:val="none" w:sz="0" w:space="0" w:color="auto"/>
        <w:right w:val="none" w:sz="0" w:space="0" w:color="auto"/>
      </w:divBdr>
    </w:div>
    <w:div w:id="1371955676">
      <w:bodyDiv w:val="1"/>
      <w:marLeft w:val="0"/>
      <w:marRight w:val="0"/>
      <w:marTop w:val="0"/>
      <w:marBottom w:val="0"/>
      <w:divBdr>
        <w:top w:val="none" w:sz="0" w:space="0" w:color="auto"/>
        <w:left w:val="none" w:sz="0" w:space="0" w:color="auto"/>
        <w:bottom w:val="none" w:sz="0" w:space="0" w:color="auto"/>
        <w:right w:val="none" w:sz="0" w:space="0" w:color="auto"/>
      </w:divBdr>
    </w:div>
    <w:div w:id="1375227834">
      <w:bodyDiv w:val="1"/>
      <w:marLeft w:val="0"/>
      <w:marRight w:val="0"/>
      <w:marTop w:val="0"/>
      <w:marBottom w:val="0"/>
      <w:divBdr>
        <w:top w:val="none" w:sz="0" w:space="0" w:color="auto"/>
        <w:left w:val="none" w:sz="0" w:space="0" w:color="auto"/>
        <w:bottom w:val="none" w:sz="0" w:space="0" w:color="auto"/>
        <w:right w:val="none" w:sz="0" w:space="0" w:color="auto"/>
      </w:divBdr>
    </w:div>
    <w:div w:id="1387681838">
      <w:bodyDiv w:val="1"/>
      <w:marLeft w:val="0"/>
      <w:marRight w:val="0"/>
      <w:marTop w:val="0"/>
      <w:marBottom w:val="0"/>
      <w:divBdr>
        <w:top w:val="none" w:sz="0" w:space="0" w:color="auto"/>
        <w:left w:val="none" w:sz="0" w:space="0" w:color="auto"/>
        <w:bottom w:val="none" w:sz="0" w:space="0" w:color="auto"/>
        <w:right w:val="none" w:sz="0" w:space="0" w:color="auto"/>
      </w:divBdr>
    </w:div>
    <w:div w:id="1395425217">
      <w:bodyDiv w:val="1"/>
      <w:marLeft w:val="0"/>
      <w:marRight w:val="0"/>
      <w:marTop w:val="0"/>
      <w:marBottom w:val="0"/>
      <w:divBdr>
        <w:top w:val="none" w:sz="0" w:space="0" w:color="auto"/>
        <w:left w:val="none" w:sz="0" w:space="0" w:color="auto"/>
        <w:bottom w:val="none" w:sz="0" w:space="0" w:color="auto"/>
        <w:right w:val="none" w:sz="0" w:space="0" w:color="auto"/>
      </w:divBdr>
      <w:divsChild>
        <w:div w:id="1879471354">
          <w:marLeft w:val="0"/>
          <w:marRight w:val="0"/>
          <w:marTop w:val="0"/>
          <w:marBottom w:val="0"/>
          <w:divBdr>
            <w:top w:val="none" w:sz="0" w:space="0" w:color="auto"/>
            <w:left w:val="none" w:sz="0" w:space="0" w:color="auto"/>
            <w:bottom w:val="none" w:sz="0" w:space="0" w:color="auto"/>
            <w:right w:val="none" w:sz="0" w:space="0" w:color="auto"/>
          </w:divBdr>
          <w:divsChild>
            <w:div w:id="1603340225">
              <w:marLeft w:val="0"/>
              <w:marRight w:val="0"/>
              <w:marTop w:val="0"/>
              <w:marBottom w:val="0"/>
              <w:divBdr>
                <w:top w:val="none" w:sz="0" w:space="0" w:color="auto"/>
                <w:left w:val="none" w:sz="0" w:space="0" w:color="auto"/>
                <w:bottom w:val="none" w:sz="0" w:space="0" w:color="auto"/>
                <w:right w:val="none" w:sz="0" w:space="0" w:color="auto"/>
              </w:divBdr>
              <w:divsChild>
                <w:div w:id="1036930650">
                  <w:marLeft w:val="0"/>
                  <w:marRight w:val="0"/>
                  <w:marTop w:val="0"/>
                  <w:marBottom w:val="0"/>
                  <w:divBdr>
                    <w:top w:val="none" w:sz="0" w:space="0" w:color="auto"/>
                    <w:left w:val="none" w:sz="0" w:space="0" w:color="auto"/>
                    <w:bottom w:val="none" w:sz="0" w:space="0" w:color="auto"/>
                    <w:right w:val="none" w:sz="0" w:space="0" w:color="auto"/>
                  </w:divBdr>
                  <w:divsChild>
                    <w:div w:id="11034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044797">
      <w:bodyDiv w:val="1"/>
      <w:marLeft w:val="0"/>
      <w:marRight w:val="0"/>
      <w:marTop w:val="0"/>
      <w:marBottom w:val="0"/>
      <w:divBdr>
        <w:top w:val="none" w:sz="0" w:space="0" w:color="auto"/>
        <w:left w:val="none" w:sz="0" w:space="0" w:color="auto"/>
        <w:bottom w:val="none" w:sz="0" w:space="0" w:color="auto"/>
        <w:right w:val="none" w:sz="0" w:space="0" w:color="auto"/>
      </w:divBdr>
      <w:divsChild>
        <w:div w:id="1665358563">
          <w:marLeft w:val="0"/>
          <w:marRight w:val="0"/>
          <w:marTop w:val="0"/>
          <w:marBottom w:val="0"/>
          <w:divBdr>
            <w:top w:val="none" w:sz="0" w:space="0" w:color="auto"/>
            <w:left w:val="none" w:sz="0" w:space="0" w:color="auto"/>
            <w:bottom w:val="none" w:sz="0" w:space="0" w:color="auto"/>
            <w:right w:val="none" w:sz="0" w:space="0" w:color="auto"/>
          </w:divBdr>
          <w:divsChild>
            <w:div w:id="68389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2454">
      <w:bodyDiv w:val="1"/>
      <w:marLeft w:val="0"/>
      <w:marRight w:val="0"/>
      <w:marTop w:val="0"/>
      <w:marBottom w:val="0"/>
      <w:divBdr>
        <w:top w:val="none" w:sz="0" w:space="0" w:color="auto"/>
        <w:left w:val="none" w:sz="0" w:space="0" w:color="auto"/>
        <w:bottom w:val="none" w:sz="0" w:space="0" w:color="auto"/>
        <w:right w:val="none" w:sz="0" w:space="0" w:color="auto"/>
      </w:divBdr>
    </w:div>
    <w:div w:id="1401562995">
      <w:bodyDiv w:val="1"/>
      <w:marLeft w:val="0"/>
      <w:marRight w:val="0"/>
      <w:marTop w:val="0"/>
      <w:marBottom w:val="0"/>
      <w:divBdr>
        <w:top w:val="none" w:sz="0" w:space="0" w:color="auto"/>
        <w:left w:val="none" w:sz="0" w:space="0" w:color="auto"/>
        <w:bottom w:val="none" w:sz="0" w:space="0" w:color="auto"/>
        <w:right w:val="none" w:sz="0" w:space="0" w:color="auto"/>
      </w:divBdr>
    </w:div>
    <w:div w:id="1409618874">
      <w:bodyDiv w:val="1"/>
      <w:marLeft w:val="0"/>
      <w:marRight w:val="0"/>
      <w:marTop w:val="0"/>
      <w:marBottom w:val="0"/>
      <w:divBdr>
        <w:top w:val="none" w:sz="0" w:space="0" w:color="auto"/>
        <w:left w:val="none" w:sz="0" w:space="0" w:color="auto"/>
        <w:bottom w:val="none" w:sz="0" w:space="0" w:color="auto"/>
        <w:right w:val="none" w:sz="0" w:space="0" w:color="auto"/>
      </w:divBdr>
    </w:div>
    <w:div w:id="1413430917">
      <w:bodyDiv w:val="1"/>
      <w:marLeft w:val="0"/>
      <w:marRight w:val="0"/>
      <w:marTop w:val="0"/>
      <w:marBottom w:val="0"/>
      <w:divBdr>
        <w:top w:val="none" w:sz="0" w:space="0" w:color="auto"/>
        <w:left w:val="none" w:sz="0" w:space="0" w:color="auto"/>
        <w:bottom w:val="none" w:sz="0" w:space="0" w:color="auto"/>
        <w:right w:val="none" w:sz="0" w:space="0" w:color="auto"/>
      </w:divBdr>
    </w:div>
    <w:div w:id="1424112084">
      <w:bodyDiv w:val="1"/>
      <w:marLeft w:val="0"/>
      <w:marRight w:val="0"/>
      <w:marTop w:val="0"/>
      <w:marBottom w:val="0"/>
      <w:divBdr>
        <w:top w:val="none" w:sz="0" w:space="0" w:color="auto"/>
        <w:left w:val="none" w:sz="0" w:space="0" w:color="auto"/>
        <w:bottom w:val="none" w:sz="0" w:space="0" w:color="auto"/>
        <w:right w:val="none" w:sz="0" w:space="0" w:color="auto"/>
      </w:divBdr>
    </w:div>
    <w:div w:id="1424305360">
      <w:bodyDiv w:val="1"/>
      <w:marLeft w:val="0"/>
      <w:marRight w:val="0"/>
      <w:marTop w:val="0"/>
      <w:marBottom w:val="0"/>
      <w:divBdr>
        <w:top w:val="none" w:sz="0" w:space="0" w:color="auto"/>
        <w:left w:val="none" w:sz="0" w:space="0" w:color="auto"/>
        <w:bottom w:val="none" w:sz="0" w:space="0" w:color="auto"/>
        <w:right w:val="none" w:sz="0" w:space="0" w:color="auto"/>
      </w:divBdr>
    </w:div>
    <w:div w:id="1426807402">
      <w:bodyDiv w:val="1"/>
      <w:marLeft w:val="0"/>
      <w:marRight w:val="0"/>
      <w:marTop w:val="0"/>
      <w:marBottom w:val="0"/>
      <w:divBdr>
        <w:top w:val="none" w:sz="0" w:space="0" w:color="auto"/>
        <w:left w:val="none" w:sz="0" w:space="0" w:color="auto"/>
        <w:bottom w:val="none" w:sz="0" w:space="0" w:color="auto"/>
        <w:right w:val="none" w:sz="0" w:space="0" w:color="auto"/>
      </w:divBdr>
      <w:divsChild>
        <w:div w:id="1512531031">
          <w:marLeft w:val="0"/>
          <w:marRight w:val="0"/>
          <w:marTop w:val="0"/>
          <w:marBottom w:val="0"/>
          <w:divBdr>
            <w:top w:val="single" w:sz="6" w:space="0" w:color="000000"/>
            <w:left w:val="single" w:sz="6" w:space="0" w:color="000000"/>
            <w:bottom w:val="single" w:sz="6" w:space="0" w:color="000000"/>
            <w:right w:val="single" w:sz="6" w:space="0" w:color="000000"/>
          </w:divBdr>
        </w:div>
        <w:div w:id="256133084">
          <w:marLeft w:val="0"/>
          <w:marRight w:val="0"/>
          <w:marTop w:val="0"/>
          <w:marBottom w:val="0"/>
          <w:divBdr>
            <w:top w:val="none" w:sz="0" w:space="0" w:color="auto"/>
            <w:left w:val="none" w:sz="0" w:space="0" w:color="auto"/>
            <w:bottom w:val="none" w:sz="0" w:space="0" w:color="auto"/>
            <w:right w:val="none" w:sz="0" w:space="0" w:color="auto"/>
          </w:divBdr>
        </w:div>
      </w:divsChild>
    </w:div>
    <w:div w:id="1427576845">
      <w:bodyDiv w:val="1"/>
      <w:marLeft w:val="0"/>
      <w:marRight w:val="0"/>
      <w:marTop w:val="0"/>
      <w:marBottom w:val="0"/>
      <w:divBdr>
        <w:top w:val="none" w:sz="0" w:space="0" w:color="auto"/>
        <w:left w:val="none" w:sz="0" w:space="0" w:color="auto"/>
        <w:bottom w:val="none" w:sz="0" w:space="0" w:color="auto"/>
        <w:right w:val="none" w:sz="0" w:space="0" w:color="auto"/>
      </w:divBdr>
    </w:div>
    <w:div w:id="1429276756">
      <w:bodyDiv w:val="1"/>
      <w:marLeft w:val="0"/>
      <w:marRight w:val="0"/>
      <w:marTop w:val="0"/>
      <w:marBottom w:val="0"/>
      <w:divBdr>
        <w:top w:val="none" w:sz="0" w:space="0" w:color="auto"/>
        <w:left w:val="none" w:sz="0" w:space="0" w:color="auto"/>
        <w:bottom w:val="none" w:sz="0" w:space="0" w:color="auto"/>
        <w:right w:val="none" w:sz="0" w:space="0" w:color="auto"/>
      </w:divBdr>
      <w:divsChild>
        <w:div w:id="215703527">
          <w:marLeft w:val="0"/>
          <w:marRight w:val="0"/>
          <w:marTop w:val="0"/>
          <w:marBottom w:val="0"/>
          <w:divBdr>
            <w:top w:val="none" w:sz="0" w:space="0" w:color="auto"/>
            <w:left w:val="none" w:sz="0" w:space="0" w:color="auto"/>
            <w:bottom w:val="none" w:sz="0" w:space="0" w:color="auto"/>
            <w:right w:val="none" w:sz="0" w:space="0" w:color="auto"/>
          </w:divBdr>
          <w:divsChild>
            <w:div w:id="663046933">
              <w:marLeft w:val="0"/>
              <w:marRight w:val="0"/>
              <w:marTop w:val="0"/>
              <w:marBottom w:val="0"/>
              <w:divBdr>
                <w:top w:val="none" w:sz="0" w:space="0" w:color="auto"/>
                <w:left w:val="none" w:sz="0" w:space="0" w:color="auto"/>
                <w:bottom w:val="none" w:sz="0" w:space="0" w:color="auto"/>
                <w:right w:val="none" w:sz="0" w:space="0" w:color="auto"/>
              </w:divBdr>
              <w:divsChild>
                <w:div w:id="12429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56264">
      <w:bodyDiv w:val="1"/>
      <w:marLeft w:val="0"/>
      <w:marRight w:val="0"/>
      <w:marTop w:val="0"/>
      <w:marBottom w:val="0"/>
      <w:divBdr>
        <w:top w:val="none" w:sz="0" w:space="0" w:color="auto"/>
        <w:left w:val="none" w:sz="0" w:space="0" w:color="auto"/>
        <w:bottom w:val="none" w:sz="0" w:space="0" w:color="auto"/>
        <w:right w:val="none" w:sz="0" w:space="0" w:color="auto"/>
      </w:divBdr>
    </w:div>
    <w:div w:id="1437481222">
      <w:bodyDiv w:val="1"/>
      <w:marLeft w:val="0"/>
      <w:marRight w:val="0"/>
      <w:marTop w:val="0"/>
      <w:marBottom w:val="0"/>
      <w:divBdr>
        <w:top w:val="none" w:sz="0" w:space="0" w:color="auto"/>
        <w:left w:val="none" w:sz="0" w:space="0" w:color="auto"/>
        <w:bottom w:val="none" w:sz="0" w:space="0" w:color="auto"/>
        <w:right w:val="none" w:sz="0" w:space="0" w:color="auto"/>
      </w:divBdr>
    </w:div>
    <w:div w:id="1447583786">
      <w:bodyDiv w:val="1"/>
      <w:marLeft w:val="0"/>
      <w:marRight w:val="0"/>
      <w:marTop w:val="0"/>
      <w:marBottom w:val="0"/>
      <w:divBdr>
        <w:top w:val="none" w:sz="0" w:space="0" w:color="auto"/>
        <w:left w:val="none" w:sz="0" w:space="0" w:color="auto"/>
        <w:bottom w:val="none" w:sz="0" w:space="0" w:color="auto"/>
        <w:right w:val="none" w:sz="0" w:space="0" w:color="auto"/>
      </w:divBdr>
    </w:div>
    <w:div w:id="1448162833">
      <w:bodyDiv w:val="1"/>
      <w:marLeft w:val="0"/>
      <w:marRight w:val="0"/>
      <w:marTop w:val="0"/>
      <w:marBottom w:val="0"/>
      <w:divBdr>
        <w:top w:val="none" w:sz="0" w:space="0" w:color="auto"/>
        <w:left w:val="none" w:sz="0" w:space="0" w:color="auto"/>
        <w:bottom w:val="none" w:sz="0" w:space="0" w:color="auto"/>
        <w:right w:val="none" w:sz="0" w:space="0" w:color="auto"/>
      </w:divBdr>
    </w:div>
    <w:div w:id="1449854471">
      <w:bodyDiv w:val="1"/>
      <w:marLeft w:val="0"/>
      <w:marRight w:val="0"/>
      <w:marTop w:val="0"/>
      <w:marBottom w:val="0"/>
      <w:divBdr>
        <w:top w:val="none" w:sz="0" w:space="0" w:color="auto"/>
        <w:left w:val="none" w:sz="0" w:space="0" w:color="auto"/>
        <w:bottom w:val="none" w:sz="0" w:space="0" w:color="auto"/>
        <w:right w:val="none" w:sz="0" w:space="0" w:color="auto"/>
      </w:divBdr>
    </w:div>
    <w:div w:id="1452894501">
      <w:bodyDiv w:val="1"/>
      <w:marLeft w:val="0"/>
      <w:marRight w:val="0"/>
      <w:marTop w:val="0"/>
      <w:marBottom w:val="0"/>
      <w:divBdr>
        <w:top w:val="none" w:sz="0" w:space="0" w:color="auto"/>
        <w:left w:val="none" w:sz="0" w:space="0" w:color="auto"/>
        <w:bottom w:val="none" w:sz="0" w:space="0" w:color="auto"/>
        <w:right w:val="none" w:sz="0" w:space="0" w:color="auto"/>
      </w:divBdr>
      <w:divsChild>
        <w:div w:id="906720697">
          <w:marLeft w:val="0"/>
          <w:marRight w:val="0"/>
          <w:marTop w:val="0"/>
          <w:marBottom w:val="0"/>
          <w:divBdr>
            <w:top w:val="none" w:sz="0" w:space="0" w:color="auto"/>
            <w:left w:val="none" w:sz="0" w:space="0" w:color="auto"/>
            <w:bottom w:val="none" w:sz="0" w:space="0" w:color="auto"/>
            <w:right w:val="none" w:sz="0" w:space="0" w:color="auto"/>
          </w:divBdr>
          <w:divsChild>
            <w:div w:id="918909895">
              <w:marLeft w:val="0"/>
              <w:marRight w:val="0"/>
              <w:marTop w:val="0"/>
              <w:marBottom w:val="0"/>
              <w:divBdr>
                <w:top w:val="none" w:sz="0" w:space="0" w:color="auto"/>
                <w:left w:val="none" w:sz="0" w:space="0" w:color="auto"/>
                <w:bottom w:val="none" w:sz="0" w:space="0" w:color="auto"/>
                <w:right w:val="none" w:sz="0" w:space="0" w:color="auto"/>
              </w:divBdr>
              <w:divsChild>
                <w:div w:id="41204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174048">
      <w:bodyDiv w:val="1"/>
      <w:marLeft w:val="0"/>
      <w:marRight w:val="0"/>
      <w:marTop w:val="0"/>
      <w:marBottom w:val="0"/>
      <w:divBdr>
        <w:top w:val="none" w:sz="0" w:space="0" w:color="auto"/>
        <w:left w:val="none" w:sz="0" w:space="0" w:color="auto"/>
        <w:bottom w:val="none" w:sz="0" w:space="0" w:color="auto"/>
        <w:right w:val="none" w:sz="0" w:space="0" w:color="auto"/>
      </w:divBdr>
    </w:div>
    <w:div w:id="1461917298">
      <w:bodyDiv w:val="1"/>
      <w:marLeft w:val="0"/>
      <w:marRight w:val="0"/>
      <w:marTop w:val="0"/>
      <w:marBottom w:val="0"/>
      <w:divBdr>
        <w:top w:val="none" w:sz="0" w:space="0" w:color="auto"/>
        <w:left w:val="none" w:sz="0" w:space="0" w:color="auto"/>
        <w:bottom w:val="none" w:sz="0" w:space="0" w:color="auto"/>
        <w:right w:val="none" w:sz="0" w:space="0" w:color="auto"/>
      </w:divBdr>
    </w:div>
    <w:div w:id="1465349375">
      <w:bodyDiv w:val="1"/>
      <w:marLeft w:val="0"/>
      <w:marRight w:val="0"/>
      <w:marTop w:val="0"/>
      <w:marBottom w:val="0"/>
      <w:divBdr>
        <w:top w:val="none" w:sz="0" w:space="0" w:color="auto"/>
        <w:left w:val="none" w:sz="0" w:space="0" w:color="auto"/>
        <w:bottom w:val="none" w:sz="0" w:space="0" w:color="auto"/>
        <w:right w:val="none" w:sz="0" w:space="0" w:color="auto"/>
      </w:divBdr>
    </w:div>
    <w:div w:id="1467628696">
      <w:bodyDiv w:val="1"/>
      <w:marLeft w:val="0"/>
      <w:marRight w:val="0"/>
      <w:marTop w:val="0"/>
      <w:marBottom w:val="0"/>
      <w:divBdr>
        <w:top w:val="none" w:sz="0" w:space="0" w:color="auto"/>
        <w:left w:val="none" w:sz="0" w:space="0" w:color="auto"/>
        <w:bottom w:val="none" w:sz="0" w:space="0" w:color="auto"/>
        <w:right w:val="none" w:sz="0" w:space="0" w:color="auto"/>
      </w:divBdr>
    </w:div>
    <w:div w:id="1470053684">
      <w:bodyDiv w:val="1"/>
      <w:marLeft w:val="0"/>
      <w:marRight w:val="0"/>
      <w:marTop w:val="0"/>
      <w:marBottom w:val="0"/>
      <w:divBdr>
        <w:top w:val="none" w:sz="0" w:space="0" w:color="auto"/>
        <w:left w:val="none" w:sz="0" w:space="0" w:color="auto"/>
        <w:bottom w:val="none" w:sz="0" w:space="0" w:color="auto"/>
        <w:right w:val="none" w:sz="0" w:space="0" w:color="auto"/>
      </w:divBdr>
    </w:div>
    <w:div w:id="1472558515">
      <w:bodyDiv w:val="1"/>
      <w:marLeft w:val="0"/>
      <w:marRight w:val="0"/>
      <w:marTop w:val="0"/>
      <w:marBottom w:val="0"/>
      <w:divBdr>
        <w:top w:val="none" w:sz="0" w:space="0" w:color="auto"/>
        <w:left w:val="none" w:sz="0" w:space="0" w:color="auto"/>
        <w:bottom w:val="none" w:sz="0" w:space="0" w:color="auto"/>
        <w:right w:val="none" w:sz="0" w:space="0" w:color="auto"/>
      </w:divBdr>
    </w:div>
    <w:div w:id="1473064571">
      <w:bodyDiv w:val="1"/>
      <w:marLeft w:val="0"/>
      <w:marRight w:val="0"/>
      <w:marTop w:val="0"/>
      <w:marBottom w:val="0"/>
      <w:divBdr>
        <w:top w:val="none" w:sz="0" w:space="0" w:color="auto"/>
        <w:left w:val="none" w:sz="0" w:space="0" w:color="auto"/>
        <w:bottom w:val="none" w:sz="0" w:space="0" w:color="auto"/>
        <w:right w:val="none" w:sz="0" w:space="0" w:color="auto"/>
      </w:divBdr>
      <w:divsChild>
        <w:div w:id="532108887">
          <w:marLeft w:val="0"/>
          <w:marRight w:val="0"/>
          <w:marTop w:val="0"/>
          <w:marBottom w:val="0"/>
          <w:divBdr>
            <w:top w:val="none" w:sz="0" w:space="0" w:color="auto"/>
            <w:left w:val="none" w:sz="0" w:space="0" w:color="auto"/>
            <w:bottom w:val="none" w:sz="0" w:space="0" w:color="auto"/>
            <w:right w:val="none" w:sz="0" w:space="0" w:color="auto"/>
          </w:divBdr>
          <w:divsChild>
            <w:div w:id="998726830">
              <w:marLeft w:val="0"/>
              <w:marRight w:val="0"/>
              <w:marTop w:val="0"/>
              <w:marBottom w:val="0"/>
              <w:divBdr>
                <w:top w:val="none" w:sz="0" w:space="0" w:color="auto"/>
                <w:left w:val="none" w:sz="0" w:space="0" w:color="auto"/>
                <w:bottom w:val="none" w:sz="0" w:space="0" w:color="auto"/>
                <w:right w:val="none" w:sz="0" w:space="0" w:color="auto"/>
              </w:divBdr>
              <w:divsChild>
                <w:div w:id="151676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477467">
      <w:bodyDiv w:val="1"/>
      <w:marLeft w:val="0"/>
      <w:marRight w:val="0"/>
      <w:marTop w:val="0"/>
      <w:marBottom w:val="0"/>
      <w:divBdr>
        <w:top w:val="none" w:sz="0" w:space="0" w:color="auto"/>
        <w:left w:val="none" w:sz="0" w:space="0" w:color="auto"/>
        <w:bottom w:val="none" w:sz="0" w:space="0" w:color="auto"/>
        <w:right w:val="none" w:sz="0" w:space="0" w:color="auto"/>
      </w:divBdr>
      <w:divsChild>
        <w:div w:id="963660761">
          <w:marLeft w:val="0"/>
          <w:marRight w:val="0"/>
          <w:marTop w:val="0"/>
          <w:marBottom w:val="0"/>
          <w:divBdr>
            <w:top w:val="none" w:sz="0" w:space="0" w:color="auto"/>
            <w:left w:val="none" w:sz="0" w:space="0" w:color="auto"/>
            <w:bottom w:val="none" w:sz="0" w:space="0" w:color="auto"/>
            <w:right w:val="none" w:sz="0" w:space="0" w:color="auto"/>
          </w:divBdr>
          <w:divsChild>
            <w:div w:id="688484141">
              <w:marLeft w:val="0"/>
              <w:marRight w:val="0"/>
              <w:marTop w:val="0"/>
              <w:marBottom w:val="0"/>
              <w:divBdr>
                <w:top w:val="none" w:sz="0" w:space="0" w:color="auto"/>
                <w:left w:val="none" w:sz="0" w:space="0" w:color="auto"/>
                <w:bottom w:val="none" w:sz="0" w:space="0" w:color="auto"/>
                <w:right w:val="none" w:sz="0" w:space="0" w:color="auto"/>
              </w:divBdr>
              <w:divsChild>
                <w:div w:id="16175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52669">
      <w:bodyDiv w:val="1"/>
      <w:marLeft w:val="0"/>
      <w:marRight w:val="0"/>
      <w:marTop w:val="0"/>
      <w:marBottom w:val="0"/>
      <w:divBdr>
        <w:top w:val="none" w:sz="0" w:space="0" w:color="auto"/>
        <w:left w:val="none" w:sz="0" w:space="0" w:color="auto"/>
        <w:bottom w:val="none" w:sz="0" w:space="0" w:color="auto"/>
        <w:right w:val="none" w:sz="0" w:space="0" w:color="auto"/>
      </w:divBdr>
      <w:divsChild>
        <w:div w:id="962005285">
          <w:marLeft w:val="0"/>
          <w:marRight w:val="0"/>
          <w:marTop w:val="0"/>
          <w:marBottom w:val="0"/>
          <w:divBdr>
            <w:top w:val="none" w:sz="0" w:space="0" w:color="auto"/>
            <w:left w:val="none" w:sz="0" w:space="0" w:color="auto"/>
            <w:bottom w:val="none" w:sz="0" w:space="0" w:color="auto"/>
            <w:right w:val="none" w:sz="0" w:space="0" w:color="auto"/>
          </w:divBdr>
          <w:divsChild>
            <w:div w:id="254095071">
              <w:marLeft w:val="0"/>
              <w:marRight w:val="0"/>
              <w:marTop w:val="0"/>
              <w:marBottom w:val="0"/>
              <w:divBdr>
                <w:top w:val="none" w:sz="0" w:space="0" w:color="auto"/>
                <w:left w:val="none" w:sz="0" w:space="0" w:color="auto"/>
                <w:bottom w:val="none" w:sz="0" w:space="0" w:color="auto"/>
                <w:right w:val="none" w:sz="0" w:space="0" w:color="auto"/>
              </w:divBdr>
              <w:divsChild>
                <w:div w:id="73636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4506">
      <w:bodyDiv w:val="1"/>
      <w:marLeft w:val="0"/>
      <w:marRight w:val="0"/>
      <w:marTop w:val="0"/>
      <w:marBottom w:val="0"/>
      <w:divBdr>
        <w:top w:val="none" w:sz="0" w:space="0" w:color="auto"/>
        <w:left w:val="none" w:sz="0" w:space="0" w:color="auto"/>
        <w:bottom w:val="none" w:sz="0" w:space="0" w:color="auto"/>
        <w:right w:val="none" w:sz="0" w:space="0" w:color="auto"/>
      </w:divBdr>
    </w:div>
    <w:div w:id="1489638628">
      <w:bodyDiv w:val="1"/>
      <w:marLeft w:val="0"/>
      <w:marRight w:val="0"/>
      <w:marTop w:val="0"/>
      <w:marBottom w:val="0"/>
      <w:divBdr>
        <w:top w:val="none" w:sz="0" w:space="0" w:color="auto"/>
        <w:left w:val="none" w:sz="0" w:space="0" w:color="auto"/>
        <w:bottom w:val="none" w:sz="0" w:space="0" w:color="auto"/>
        <w:right w:val="none" w:sz="0" w:space="0" w:color="auto"/>
      </w:divBdr>
    </w:div>
    <w:div w:id="1496264429">
      <w:bodyDiv w:val="1"/>
      <w:marLeft w:val="0"/>
      <w:marRight w:val="0"/>
      <w:marTop w:val="0"/>
      <w:marBottom w:val="0"/>
      <w:divBdr>
        <w:top w:val="none" w:sz="0" w:space="0" w:color="auto"/>
        <w:left w:val="none" w:sz="0" w:space="0" w:color="auto"/>
        <w:bottom w:val="none" w:sz="0" w:space="0" w:color="auto"/>
        <w:right w:val="none" w:sz="0" w:space="0" w:color="auto"/>
      </w:divBdr>
    </w:div>
    <w:div w:id="1497648790">
      <w:bodyDiv w:val="1"/>
      <w:marLeft w:val="0"/>
      <w:marRight w:val="0"/>
      <w:marTop w:val="0"/>
      <w:marBottom w:val="0"/>
      <w:divBdr>
        <w:top w:val="none" w:sz="0" w:space="0" w:color="auto"/>
        <w:left w:val="none" w:sz="0" w:space="0" w:color="auto"/>
        <w:bottom w:val="none" w:sz="0" w:space="0" w:color="auto"/>
        <w:right w:val="none" w:sz="0" w:space="0" w:color="auto"/>
      </w:divBdr>
    </w:div>
    <w:div w:id="1500266148">
      <w:bodyDiv w:val="1"/>
      <w:marLeft w:val="0"/>
      <w:marRight w:val="0"/>
      <w:marTop w:val="0"/>
      <w:marBottom w:val="0"/>
      <w:divBdr>
        <w:top w:val="none" w:sz="0" w:space="0" w:color="auto"/>
        <w:left w:val="none" w:sz="0" w:space="0" w:color="auto"/>
        <w:bottom w:val="none" w:sz="0" w:space="0" w:color="auto"/>
        <w:right w:val="none" w:sz="0" w:space="0" w:color="auto"/>
      </w:divBdr>
    </w:div>
    <w:div w:id="1503858790">
      <w:bodyDiv w:val="1"/>
      <w:marLeft w:val="0"/>
      <w:marRight w:val="0"/>
      <w:marTop w:val="0"/>
      <w:marBottom w:val="0"/>
      <w:divBdr>
        <w:top w:val="none" w:sz="0" w:space="0" w:color="auto"/>
        <w:left w:val="none" w:sz="0" w:space="0" w:color="auto"/>
        <w:bottom w:val="none" w:sz="0" w:space="0" w:color="auto"/>
        <w:right w:val="none" w:sz="0" w:space="0" w:color="auto"/>
      </w:divBdr>
    </w:div>
    <w:div w:id="1504857736">
      <w:bodyDiv w:val="1"/>
      <w:marLeft w:val="0"/>
      <w:marRight w:val="0"/>
      <w:marTop w:val="0"/>
      <w:marBottom w:val="0"/>
      <w:divBdr>
        <w:top w:val="none" w:sz="0" w:space="0" w:color="auto"/>
        <w:left w:val="none" w:sz="0" w:space="0" w:color="auto"/>
        <w:bottom w:val="none" w:sz="0" w:space="0" w:color="auto"/>
        <w:right w:val="none" w:sz="0" w:space="0" w:color="auto"/>
      </w:divBdr>
    </w:div>
    <w:div w:id="1518621709">
      <w:bodyDiv w:val="1"/>
      <w:marLeft w:val="0"/>
      <w:marRight w:val="0"/>
      <w:marTop w:val="0"/>
      <w:marBottom w:val="0"/>
      <w:divBdr>
        <w:top w:val="none" w:sz="0" w:space="0" w:color="auto"/>
        <w:left w:val="none" w:sz="0" w:space="0" w:color="auto"/>
        <w:bottom w:val="none" w:sz="0" w:space="0" w:color="auto"/>
        <w:right w:val="none" w:sz="0" w:space="0" w:color="auto"/>
      </w:divBdr>
      <w:divsChild>
        <w:div w:id="247231228">
          <w:marLeft w:val="0"/>
          <w:marRight w:val="0"/>
          <w:marTop w:val="0"/>
          <w:marBottom w:val="0"/>
          <w:divBdr>
            <w:top w:val="none" w:sz="0" w:space="0" w:color="auto"/>
            <w:left w:val="none" w:sz="0" w:space="0" w:color="auto"/>
            <w:bottom w:val="none" w:sz="0" w:space="0" w:color="auto"/>
            <w:right w:val="none" w:sz="0" w:space="0" w:color="auto"/>
          </w:divBdr>
          <w:divsChild>
            <w:div w:id="323704992">
              <w:marLeft w:val="0"/>
              <w:marRight w:val="0"/>
              <w:marTop w:val="0"/>
              <w:marBottom w:val="0"/>
              <w:divBdr>
                <w:top w:val="none" w:sz="0" w:space="0" w:color="auto"/>
                <w:left w:val="none" w:sz="0" w:space="0" w:color="auto"/>
                <w:bottom w:val="none" w:sz="0" w:space="0" w:color="auto"/>
                <w:right w:val="none" w:sz="0" w:space="0" w:color="auto"/>
              </w:divBdr>
              <w:divsChild>
                <w:div w:id="8611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78477">
      <w:bodyDiv w:val="1"/>
      <w:marLeft w:val="0"/>
      <w:marRight w:val="0"/>
      <w:marTop w:val="0"/>
      <w:marBottom w:val="0"/>
      <w:divBdr>
        <w:top w:val="none" w:sz="0" w:space="0" w:color="auto"/>
        <w:left w:val="none" w:sz="0" w:space="0" w:color="auto"/>
        <w:bottom w:val="none" w:sz="0" w:space="0" w:color="auto"/>
        <w:right w:val="none" w:sz="0" w:space="0" w:color="auto"/>
      </w:divBdr>
    </w:div>
    <w:div w:id="1525172760">
      <w:bodyDiv w:val="1"/>
      <w:marLeft w:val="0"/>
      <w:marRight w:val="0"/>
      <w:marTop w:val="0"/>
      <w:marBottom w:val="0"/>
      <w:divBdr>
        <w:top w:val="none" w:sz="0" w:space="0" w:color="auto"/>
        <w:left w:val="none" w:sz="0" w:space="0" w:color="auto"/>
        <w:bottom w:val="none" w:sz="0" w:space="0" w:color="auto"/>
        <w:right w:val="none" w:sz="0" w:space="0" w:color="auto"/>
      </w:divBdr>
    </w:div>
    <w:div w:id="1556818450">
      <w:bodyDiv w:val="1"/>
      <w:marLeft w:val="0"/>
      <w:marRight w:val="0"/>
      <w:marTop w:val="0"/>
      <w:marBottom w:val="0"/>
      <w:divBdr>
        <w:top w:val="none" w:sz="0" w:space="0" w:color="auto"/>
        <w:left w:val="none" w:sz="0" w:space="0" w:color="auto"/>
        <w:bottom w:val="none" w:sz="0" w:space="0" w:color="auto"/>
        <w:right w:val="none" w:sz="0" w:space="0" w:color="auto"/>
      </w:divBdr>
    </w:div>
    <w:div w:id="1558857188">
      <w:bodyDiv w:val="1"/>
      <w:marLeft w:val="0"/>
      <w:marRight w:val="0"/>
      <w:marTop w:val="0"/>
      <w:marBottom w:val="0"/>
      <w:divBdr>
        <w:top w:val="none" w:sz="0" w:space="0" w:color="auto"/>
        <w:left w:val="none" w:sz="0" w:space="0" w:color="auto"/>
        <w:bottom w:val="none" w:sz="0" w:space="0" w:color="auto"/>
        <w:right w:val="none" w:sz="0" w:space="0" w:color="auto"/>
      </w:divBdr>
    </w:div>
    <w:div w:id="1564171629">
      <w:bodyDiv w:val="1"/>
      <w:marLeft w:val="0"/>
      <w:marRight w:val="0"/>
      <w:marTop w:val="0"/>
      <w:marBottom w:val="0"/>
      <w:divBdr>
        <w:top w:val="none" w:sz="0" w:space="0" w:color="auto"/>
        <w:left w:val="none" w:sz="0" w:space="0" w:color="auto"/>
        <w:bottom w:val="none" w:sz="0" w:space="0" w:color="auto"/>
        <w:right w:val="none" w:sz="0" w:space="0" w:color="auto"/>
      </w:divBdr>
    </w:div>
    <w:div w:id="1565027400">
      <w:bodyDiv w:val="1"/>
      <w:marLeft w:val="0"/>
      <w:marRight w:val="0"/>
      <w:marTop w:val="0"/>
      <w:marBottom w:val="0"/>
      <w:divBdr>
        <w:top w:val="none" w:sz="0" w:space="0" w:color="auto"/>
        <w:left w:val="none" w:sz="0" w:space="0" w:color="auto"/>
        <w:bottom w:val="none" w:sz="0" w:space="0" w:color="auto"/>
        <w:right w:val="none" w:sz="0" w:space="0" w:color="auto"/>
      </w:divBdr>
    </w:div>
    <w:div w:id="1570729680">
      <w:bodyDiv w:val="1"/>
      <w:marLeft w:val="0"/>
      <w:marRight w:val="0"/>
      <w:marTop w:val="0"/>
      <w:marBottom w:val="0"/>
      <w:divBdr>
        <w:top w:val="none" w:sz="0" w:space="0" w:color="auto"/>
        <w:left w:val="none" w:sz="0" w:space="0" w:color="auto"/>
        <w:bottom w:val="none" w:sz="0" w:space="0" w:color="auto"/>
        <w:right w:val="none" w:sz="0" w:space="0" w:color="auto"/>
      </w:divBdr>
    </w:div>
    <w:div w:id="1576696728">
      <w:bodyDiv w:val="1"/>
      <w:marLeft w:val="0"/>
      <w:marRight w:val="0"/>
      <w:marTop w:val="0"/>
      <w:marBottom w:val="0"/>
      <w:divBdr>
        <w:top w:val="none" w:sz="0" w:space="0" w:color="auto"/>
        <w:left w:val="none" w:sz="0" w:space="0" w:color="auto"/>
        <w:bottom w:val="none" w:sz="0" w:space="0" w:color="auto"/>
        <w:right w:val="none" w:sz="0" w:space="0" w:color="auto"/>
      </w:divBdr>
      <w:divsChild>
        <w:div w:id="1319843125">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577283101">
      <w:bodyDiv w:val="1"/>
      <w:marLeft w:val="0"/>
      <w:marRight w:val="0"/>
      <w:marTop w:val="0"/>
      <w:marBottom w:val="0"/>
      <w:divBdr>
        <w:top w:val="none" w:sz="0" w:space="0" w:color="auto"/>
        <w:left w:val="none" w:sz="0" w:space="0" w:color="auto"/>
        <w:bottom w:val="none" w:sz="0" w:space="0" w:color="auto"/>
        <w:right w:val="none" w:sz="0" w:space="0" w:color="auto"/>
      </w:divBdr>
    </w:div>
    <w:div w:id="1583678355">
      <w:bodyDiv w:val="1"/>
      <w:marLeft w:val="0"/>
      <w:marRight w:val="0"/>
      <w:marTop w:val="0"/>
      <w:marBottom w:val="0"/>
      <w:divBdr>
        <w:top w:val="none" w:sz="0" w:space="0" w:color="auto"/>
        <w:left w:val="none" w:sz="0" w:space="0" w:color="auto"/>
        <w:bottom w:val="none" w:sz="0" w:space="0" w:color="auto"/>
        <w:right w:val="none" w:sz="0" w:space="0" w:color="auto"/>
      </w:divBdr>
    </w:div>
    <w:div w:id="1584530045">
      <w:bodyDiv w:val="1"/>
      <w:marLeft w:val="0"/>
      <w:marRight w:val="0"/>
      <w:marTop w:val="0"/>
      <w:marBottom w:val="0"/>
      <w:divBdr>
        <w:top w:val="none" w:sz="0" w:space="0" w:color="auto"/>
        <w:left w:val="none" w:sz="0" w:space="0" w:color="auto"/>
        <w:bottom w:val="none" w:sz="0" w:space="0" w:color="auto"/>
        <w:right w:val="none" w:sz="0" w:space="0" w:color="auto"/>
      </w:divBdr>
    </w:div>
    <w:div w:id="1586913829">
      <w:bodyDiv w:val="1"/>
      <w:marLeft w:val="0"/>
      <w:marRight w:val="0"/>
      <w:marTop w:val="0"/>
      <w:marBottom w:val="0"/>
      <w:divBdr>
        <w:top w:val="none" w:sz="0" w:space="0" w:color="auto"/>
        <w:left w:val="none" w:sz="0" w:space="0" w:color="auto"/>
        <w:bottom w:val="none" w:sz="0" w:space="0" w:color="auto"/>
        <w:right w:val="none" w:sz="0" w:space="0" w:color="auto"/>
      </w:divBdr>
    </w:div>
    <w:div w:id="1591544822">
      <w:bodyDiv w:val="1"/>
      <w:marLeft w:val="0"/>
      <w:marRight w:val="0"/>
      <w:marTop w:val="0"/>
      <w:marBottom w:val="0"/>
      <w:divBdr>
        <w:top w:val="none" w:sz="0" w:space="0" w:color="auto"/>
        <w:left w:val="none" w:sz="0" w:space="0" w:color="auto"/>
        <w:bottom w:val="none" w:sz="0" w:space="0" w:color="auto"/>
        <w:right w:val="none" w:sz="0" w:space="0" w:color="auto"/>
      </w:divBdr>
    </w:div>
    <w:div w:id="1595019442">
      <w:bodyDiv w:val="1"/>
      <w:marLeft w:val="0"/>
      <w:marRight w:val="0"/>
      <w:marTop w:val="0"/>
      <w:marBottom w:val="0"/>
      <w:divBdr>
        <w:top w:val="none" w:sz="0" w:space="0" w:color="auto"/>
        <w:left w:val="none" w:sz="0" w:space="0" w:color="auto"/>
        <w:bottom w:val="none" w:sz="0" w:space="0" w:color="auto"/>
        <w:right w:val="none" w:sz="0" w:space="0" w:color="auto"/>
      </w:divBdr>
      <w:divsChild>
        <w:div w:id="68610047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595434637">
      <w:bodyDiv w:val="1"/>
      <w:marLeft w:val="0"/>
      <w:marRight w:val="0"/>
      <w:marTop w:val="0"/>
      <w:marBottom w:val="0"/>
      <w:divBdr>
        <w:top w:val="none" w:sz="0" w:space="0" w:color="auto"/>
        <w:left w:val="none" w:sz="0" w:space="0" w:color="auto"/>
        <w:bottom w:val="none" w:sz="0" w:space="0" w:color="auto"/>
        <w:right w:val="none" w:sz="0" w:space="0" w:color="auto"/>
      </w:divBdr>
    </w:div>
    <w:div w:id="1595749951">
      <w:bodyDiv w:val="1"/>
      <w:marLeft w:val="0"/>
      <w:marRight w:val="0"/>
      <w:marTop w:val="0"/>
      <w:marBottom w:val="0"/>
      <w:divBdr>
        <w:top w:val="none" w:sz="0" w:space="0" w:color="auto"/>
        <w:left w:val="none" w:sz="0" w:space="0" w:color="auto"/>
        <w:bottom w:val="none" w:sz="0" w:space="0" w:color="auto"/>
        <w:right w:val="none" w:sz="0" w:space="0" w:color="auto"/>
      </w:divBdr>
    </w:div>
    <w:div w:id="1599479997">
      <w:bodyDiv w:val="1"/>
      <w:marLeft w:val="0"/>
      <w:marRight w:val="0"/>
      <w:marTop w:val="0"/>
      <w:marBottom w:val="0"/>
      <w:divBdr>
        <w:top w:val="none" w:sz="0" w:space="0" w:color="auto"/>
        <w:left w:val="none" w:sz="0" w:space="0" w:color="auto"/>
        <w:bottom w:val="none" w:sz="0" w:space="0" w:color="auto"/>
        <w:right w:val="none" w:sz="0" w:space="0" w:color="auto"/>
      </w:divBdr>
      <w:divsChild>
        <w:div w:id="550533034">
          <w:marLeft w:val="0"/>
          <w:marRight w:val="0"/>
          <w:marTop w:val="0"/>
          <w:marBottom w:val="0"/>
          <w:divBdr>
            <w:top w:val="none" w:sz="0" w:space="0" w:color="auto"/>
            <w:left w:val="none" w:sz="0" w:space="0" w:color="auto"/>
            <w:bottom w:val="none" w:sz="0" w:space="0" w:color="auto"/>
            <w:right w:val="none" w:sz="0" w:space="0" w:color="auto"/>
          </w:divBdr>
          <w:divsChild>
            <w:div w:id="2069305783">
              <w:marLeft w:val="0"/>
              <w:marRight w:val="0"/>
              <w:marTop w:val="0"/>
              <w:marBottom w:val="0"/>
              <w:divBdr>
                <w:top w:val="none" w:sz="0" w:space="0" w:color="auto"/>
                <w:left w:val="none" w:sz="0" w:space="0" w:color="auto"/>
                <w:bottom w:val="none" w:sz="0" w:space="0" w:color="auto"/>
                <w:right w:val="none" w:sz="0" w:space="0" w:color="auto"/>
              </w:divBdr>
              <w:divsChild>
                <w:div w:id="1679963520">
                  <w:marLeft w:val="0"/>
                  <w:marRight w:val="0"/>
                  <w:marTop w:val="0"/>
                  <w:marBottom w:val="0"/>
                  <w:divBdr>
                    <w:top w:val="none" w:sz="0" w:space="0" w:color="auto"/>
                    <w:left w:val="none" w:sz="0" w:space="0" w:color="auto"/>
                    <w:bottom w:val="none" w:sz="0" w:space="0" w:color="auto"/>
                    <w:right w:val="none" w:sz="0" w:space="0" w:color="auto"/>
                  </w:divBdr>
                  <w:divsChild>
                    <w:div w:id="808549661">
                      <w:marLeft w:val="0"/>
                      <w:marRight w:val="0"/>
                      <w:marTop w:val="0"/>
                      <w:marBottom w:val="0"/>
                      <w:divBdr>
                        <w:top w:val="none" w:sz="0" w:space="0" w:color="auto"/>
                        <w:left w:val="none" w:sz="0" w:space="0" w:color="auto"/>
                        <w:bottom w:val="none" w:sz="0" w:space="0" w:color="auto"/>
                        <w:right w:val="none" w:sz="0" w:space="0" w:color="auto"/>
                      </w:divBdr>
                      <w:divsChild>
                        <w:div w:id="1410269409">
                          <w:marLeft w:val="0"/>
                          <w:marRight w:val="0"/>
                          <w:marTop w:val="0"/>
                          <w:marBottom w:val="0"/>
                          <w:divBdr>
                            <w:top w:val="none" w:sz="0" w:space="0" w:color="auto"/>
                            <w:left w:val="none" w:sz="0" w:space="0" w:color="auto"/>
                            <w:bottom w:val="none" w:sz="0" w:space="0" w:color="auto"/>
                            <w:right w:val="none" w:sz="0" w:space="0" w:color="auto"/>
                          </w:divBdr>
                          <w:divsChild>
                            <w:div w:id="4473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266862">
      <w:bodyDiv w:val="1"/>
      <w:marLeft w:val="0"/>
      <w:marRight w:val="0"/>
      <w:marTop w:val="0"/>
      <w:marBottom w:val="0"/>
      <w:divBdr>
        <w:top w:val="none" w:sz="0" w:space="0" w:color="auto"/>
        <w:left w:val="none" w:sz="0" w:space="0" w:color="auto"/>
        <w:bottom w:val="none" w:sz="0" w:space="0" w:color="auto"/>
        <w:right w:val="none" w:sz="0" w:space="0" w:color="auto"/>
      </w:divBdr>
    </w:div>
    <w:div w:id="1625385023">
      <w:bodyDiv w:val="1"/>
      <w:marLeft w:val="0"/>
      <w:marRight w:val="0"/>
      <w:marTop w:val="0"/>
      <w:marBottom w:val="0"/>
      <w:divBdr>
        <w:top w:val="none" w:sz="0" w:space="0" w:color="auto"/>
        <w:left w:val="none" w:sz="0" w:space="0" w:color="auto"/>
        <w:bottom w:val="none" w:sz="0" w:space="0" w:color="auto"/>
        <w:right w:val="none" w:sz="0" w:space="0" w:color="auto"/>
      </w:divBdr>
    </w:div>
    <w:div w:id="1635406025">
      <w:bodyDiv w:val="1"/>
      <w:marLeft w:val="0"/>
      <w:marRight w:val="0"/>
      <w:marTop w:val="0"/>
      <w:marBottom w:val="0"/>
      <w:divBdr>
        <w:top w:val="none" w:sz="0" w:space="0" w:color="auto"/>
        <w:left w:val="none" w:sz="0" w:space="0" w:color="auto"/>
        <w:bottom w:val="none" w:sz="0" w:space="0" w:color="auto"/>
        <w:right w:val="none" w:sz="0" w:space="0" w:color="auto"/>
      </w:divBdr>
    </w:div>
    <w:div w:id="1645507835">
      <w:bodyDiv w:val="1"/>
      <w:marLeft w:val="0"/>
      <w:marRight w:val="0"/>
      <w:marTop w:val="0"/>
      <w:marBottom w:val="0"/>
      <w:divBdr>
        <w:top w:val="none" w:sz="0" w:space="0" w:color="auto"/>
        <w:left w:val="none" w:sz="0" w:space="0" w:color="auto"/>
        <w:bottom w:val="none" w:sz="0" w:space="0" w:color="auto"/>
        <w:right w:val="none" w:sz="0" w:space="0" w:color="auto"/>
      </w:divBdr>
    </w:div>
    <w:div w:id="1652557086">
      <w:bodyDiv w:val="1"/>
      <w:marLeft w:val="0"/>
      <w:marRight w:val="0"/>
      <w:marTop w:val="0"/>
      <w:marBottom w:val="0"/>
      <w:divBdr>
        <w:top w:val="none" w:sz="0" w:space="0" w:color="auto"/>
        <w:left w:val="none" w:sz="0" w:space="0" w:color="auto"/>
        <w:bottom w:val="none" w:sz="0" w:space="0" w:color="auto"/>
        <w:right w:val="none" w:sz="0" w:space="0" w:color="auto"/>
      </w:divBdr>
    </w:div>
    <w:div w:id="1658917634">
      <w:bodyDiv w:val="1"/>
      <w:marLeft w:val="0"/>
      <w:marRight w:val="0"/>
      <w:marTop w:val="0"/>
      <w:marBottom w:val="0"/>
      <w:divBdr>
        <w:top w:val="none" w:sz="0" w:space="0" w:color="auto"/>
        <w:left w:val="none" w:sz="0" w:space="0" w:color="auto"/>
        <w:bottom w:val="none" w:sz="0" w:space="0" w:color="auto"/>
        <w:right w:val="none" w:sz="0" w:space="0" w:color="auto"/>
      </w:divBdr>
    </w:div>
    <w:div w:id="1659259608">
      <w:bodyDiv w:val="1"/>
      <w:marLeft w:val="0"/>
      <w:marRight w:val="0"/>
      <w:marTop w:val="0"/>
      <w:marBottom w:val="0"/>
      <w:divBdr>
        <w:top w:val="none" w:sz="0" w:space="0" w:color="auto"/>
        <w:left w:val="none" w:sz="0" w:space="0" w:color="auto"/>
        <w:bottom w:val="none" w:sz="0" w:space="0" w:color="auto"/>
        <w:right w:val="none" w:sz="0" w:space="0" w:color="auto"/>
      </w:divBdr>
    </w:div>
    <w:div w:id="1659535063">
      <w:bodyDiv w:val="1"/>
      <w:marLeft w:val="0"/>
      <w:marRight w:val="0"/>
      <w:marTop w:val="0"/>
      <w:marBottom w:val="0"/>
      <w:divBdr>
        <w:top w:val="none" w:sz="0" w:space="0" w:color="auto"/>
        <w:left w:val="none" w:sz="0" w:space="0" w:color="auto"/>
        <w:bottom w:val="none" w:sz="0" w:space="0" w:color="auto"/>
        <w:right w:val="none" w:sz="0" w:space="0" w:color="auto"/>
      </w:divBdr>
    </w:div>
    <w:div w:id="1663193115">
      <w:bodyDiv w:val="1"/>
      <w:marLeft w:val="0"/>
      <w:marRight w:val="0"/>
      <w:marTop w:val="0"/>
      <w:marBottom w:val="0"/>
      <w:divBdr>
        <w:top w:val="none" w:sz="0" w:space="0" w:color="auto"/>
        <w:left w:val="none" w:sz="0" w:space="0" w:color="auto"/>
        <w:bottom w:val="none" w:sz="0" w:space="0" w:color="auto"/>
        <w:right w:val="none" w:sz="0" w:space="0" w:color="auto"/>
      </w:divBdr>
      <w:divsChild>
        <w:div w:id="2055537116">
          <w:marLeft w:val="0"/>
          <w:marRight w:val="0"/>
          <w:marTop w:val="0"/>
          <w:marBottom w:val="0"/>
          <w:divBdr>
            <w:top w:val="none" w:sz="0" w:space="0" w:color="auto"/>
            <w:left w:val="none" w:sz="0" w:space="0" w:color="auto"/>
            <w:bottom w:val="none" w:sz="0" w:space="0" w:color="auto"/>
            <w:right w:val="none" w:sz="0" w:space="0" w:color="auto"/>
          </w:divBdr>
          <w:divsChild>
            <w:div w:id="1109203126">
              <w:marLeft w:val="0"/>
              <w:marRight w:val="0"/>
              <w:marTop w:val="0"/>
              <w:marBottom w:val="0"/>
              <w:divBdr>
                <w:top w:val="none" w:sz="0" w:space="0" w:color="auto"/>
                <w:left w:val="none" w:sz="0" w:space="0" w:color="auto"/>
                <w:bottom w:val="none" w:sz="0" w:space="0" w:color="auto"/>
                <w:right w:val="none" w:sz="0" w:space="0" w:color="auto"/>
              </w:divBdr>
              <w:divsChild>
                <w:div w:id="48316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64750">
      <w:bodyDiv w:val="1"/>
      <w:marLeft w:val="0"/>
      <w:marRight w:val="0"/>
      <w:marTop w:val="0"/>
      <w:marBottom w:val="0"/>
      <w:divBdr>
        <w:top w:val="none" w:sz="0" w:space="0" w:color="auto"/>
        <w:left w:val="none" w:sz="0" w:space="0" w:color="auto"/>
        <w:bottom w:val="none" w:sz="0" w:space="0" w:color="auto"/>
        <w:right w:val="none" w:sz="0" w:space="0" w:color="auto"/>
      </w:divBdr>
    </w:div>
    <w:div w:id="1669096560">
      <w:bodyDiv w:val="1"/>
      <w:marLeft w:val="0"/>
      <w:marRight w:val="0"/>
      <w:marTop w:val="0"/>
      <w:marBottom w:val="0"/>
      <w:divBdr>
        <w:top w:val="none" w:sz="0" w:space="0" w:color="auto"/>
        <w:left w:val="none" w:sz="0" w:space="0" w:color="auto"/>
        <w:bottom w:val="none" w:sz="0" w:space="0" w:color="auto"/>
        <w:right w:val="none" w:sz="0" w:space="0" w:color="auto"/>
      </w:divBdr>
    </w:div>
    <w:div w:id="1676612158">
      <w:bodyDiv w:val="1"/>
      <w:marLeft w:val="0"/>
      <w:marRight w:val="0"/>
      <w:marTop w:val="0"/>
      <w:marBottom w:val="0"/>
      <w:divBdr>
        <w:top w:val="none" w:sz="0" w:space="0" w:color="auto"/>
        <w:left w:val="none" w:sz="0" w:space="0" w:color="auto"/>
        <w:bottom w:val="none" w:sz="0" w:space="0" w:color="auto"/>
        <w:right w:val="none" w:sz="0" w:space="0" w:color="auto"/>
      </w:divBdr>
    </w:div>
    <w:div w:id="1676758524">
      <w:bodyDiv w:val="1"/>
      <w:marLeft w:val="0"/>
      <w:marRight w:val="0"/>
      <w:marTop w:val="0"/>
      <w:marBottom w:val="0"/>
      <w:divBdr>
        <w:top w:val="none" w:sz="0" w:space="0" w:color="auto"/>
        <w:left w:val="none" w:sz="0" w:space="0" w:color="auto"/>
        <w:bottom w:val="none" w:sz="0" w:space="0" w:color="auto"/>
        <w:right w:val="none" w:sz="0" w:space="0" w:color="auto"/>
      </w:divBdr>
    </w:div>
    <w:div w:id="1681279575">
      <w:bodyDiv w:val="1"/>
      <w:marLeft w:val="0"/>
      <w:marRight w:val="0"/>
      <w:marTop w:val="0"/>
      <w:marBottom w:val="0"/>
      <w:divBdr>
        <w:top w:val="none" w:sz="0" w:space="0" w:color="auto"/>
        <w:left w:val="none" w:sz="0" w:space="0" w:color="auto"/>
        <w:bottom w:val="none" w:sz="0" w:space="0" w:color="auto"/>
        <w:right w:val="none" w:sz="0" w:space="0" w:color="auto"/>
      </w:divBdr>
      <w:divsChild>
        <w:div w:id="205457052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697585883">
      <w:bodyDiv w:val="1"/>
      <w:marLeft w:val="0"/>
      <w:marRight w:val="0"/>
      <w:marTop w:val="0"/>
      <w:marBottom w:val="0"/>
      <w:divBdr>
        <w:top w:val="none" w:sz="0" w:space="0" w:color="auto"/>
        <w:left w:val="none" w:sz="0" w:space="0" w:color="auto"/>
        <w:bottom w:val="none" w:sz="0" w:space="0" w:color="auto"/>
        <w:right w:val="none" w:sz="0" w:space="0" w:color="auto"/>
      </w:divBdr>
    </w:div>
    <w:div w:id="1699160955">
      <w:bodyDiv w:val="1"/>
      <w:marLeft w:val="0"/>
      <w:marRight w:val="0"/>
      <w:marTop w:val="0"/>
      <w:marBottom w:val="0"/>
      <w:divBdr>
        <w:top w:val="none" w:sz="0" w:space="0" w:color="auto"/>
        <w:left w:val="none" w:sz="0" w:space="0" w:color="auto"/>
        <w:bottom w:val="none" w:sz="0" w:space="0" w:color="auto"/>
        <w:right w:val="none" w:sz="0" w:space="0" w:color="auto"/>
      </w:divBdr>
    </w:div>
    <w:div w:id="1702704262">
      <w:bodyDiv w:val="1"/>
      <w:marLeft w:val="0"/>
      <w:marRight w:val="0"/>
      <w:marTop w:val="0"/>
      <w:marBottom w:val="0"/>
      <w:divBdr>
        <w:top w:val="none" w:sz="0" w:space="0" w:color="auto"/>
        <w:left w:val="none" w:sz="0" w:space="0" w:color="auto"/>
        <w:bottom w:val="none" w:sz="0" w:space="0" w:color="auto"/>
        <w:right w:val="none" w:sz="0" w:space="0" w:color="auto"/>
      </w:divBdr>
    </w:div>
    <w:div w:id="1706178648">
      <w:bodyDiv w:val="1"/>
      <w:marLeft w:val="0"/>
      <w:marRight w:val="0"/>
      <w:marTop w:val="0"/>
      <w:marBottom w:val="0"/>
      <w:divBdr>
        <w:top w:val="none" w:sz="0" w:space="0" w:color="auto"/>
        <w:left w:val="none" w:sz="0" w:space="0" w:color="auto"/>
        <w:bottom w:val="none" w:sz="0" w:space="0" w:color="auto"/>
        <w:right w:val="none" w:sz="0" w:space="0" w:color="auto"/>
      </w:divBdr>
    </w:div>
    <w:div w:id="1709142284">
      <w:bodyDiv w:val="1"/>
      <w:marLeft w:val="0"/>
      <w:marRight w:val="0"/>
      <w:marTop w:val="0"/>
      <w:marBottom w:val="0"/>
      <w:divBdr>
        <w:top w:val="none" w:sz="0" w:space="0" w:color="auto"/>
        <w:left w:val="none" w:sz="0" w:space="0" w:color="auto"/>
        <w:bottom w:val="none" w:sz="0" w:space="0" w:color="auto"/>
        <w:right w:val="none" w:sz="0" w:space="0" w:color="auto"/>
      </w:divBdr>
    </w:div>
    <w:div w:id="1714846274">
      <w:bodyDiv w:val="1"/>
      <w:marLeft w:val="0"/>
      <w:marRight w:val="0"/>
      <w:marTop w:val="0"/>
      <w:marBottom w:val="0"/>
      <w:divBdr>
        <w:top w:val="none" w:sz="0" w:space="0" w:color="auto"/>
        <w:left w:val="none" w:sz="0" w:space="0" w:color="auto"/>
        <w:bottom w:val="none" w:sz="0" w:space="0" w:color="auto"/>
        <w:right w:val="none" w:sz="0" w:space="0" w:color="auto"/>
      </w:divBdr>
    </w:div>
    <w:div w:id="1718972443">
      <w:bodyDiv w:val="1"/>
      <w:marLeft w:val="0"/>
      <w:marRight w:val="0"/>
      <w:marTop w:val="0"/>
      <w:marBottom w:val="0"/>
      <w:divBdr>
        <w:top w:val="none" w:sz="0" w:space="0" w:color="auto"/>
        <w:left w:val="none" w:sz="0" w:space="0" w:color="auto"/>
        <w:bottom w:val="none" w:sz="0" w:space="0" w:color="auto"/>
        <w:right w:val="none" w:sz="0" w:space="0" w:color="auto"/>
      </w:divBdr>
    </w:div>
    <w:div w:id="1720586449">
      <w:bodyDiv w:val="1"/>
      <w:marLeft w:val="0"/>
      <w:marRight w:val="0"/>
      <w:marTop w:val="0"/>
      <w:marBottom w:val="0"/>
      <w:divBdr>
        <w:top w:val="none" w:sz="0" w:space="0" w:color="auto"/>
        <w:left w:val="none" w:sz="0" w:space="0" w:color="auto"/>
        <w:bottom w:val="none" w:sz="0" w:space="0" w:color="auto"/>
        <w:right w:val="none" w:sz="0" w:space="0" w:color="auto"/>
      </w:divBdr>
    </w:div>
    <w:div w:id="1722361266">
      <w:bodyDiv w:val="1"/>
      <w:marLeft w:val="0"/>
      <w:marRight w:val="0"/>
      <w:marTop w:val="0"/>
      <w:marBottom w:val="0"/>
      <w:divBdr>
        <w:top w:val="none" w:sz="0" w:space="0" w:color="auto"/>
        <w:left w:val="none" w:sz="0" w:space="0" w:color="auto"/>
        <w:bottom w:val="none" w:sz="0" w:space="0" w:color="auto"/>
        <w:right w:val="none" w:sz="0" w:space="0" w:color="auto"/>
      </w:divBdr>
    </w:div>
    <w:div w:id="1722511989">
      <w:bodyDiv w:val="1"/>
      <w:marLeft w:val="0"/>
      <w:marRight w:val="0"/>
      <w:marTop w:val="0"/>
      <w:marBottom w:val="0"/>
      <w:divBdr>
        <w:top w:val="none" w:sz="0" w:space="0" w:color="auto"/>
        <w:left w:val="none" w:sz="0" w:space="0" w:color="auto"/>
        <w:bottom w:val="none" w:sz="0" w:space="0" w:color="auto"/>
        <w:right w:val="none" w:sz="0" w:space="0" w:color="auto"/>
      </w:divBdr>
    </w:div>
    <w:div w:id="1724938480">
      <w:bodyDiv w:val="1"/>
      <w:marLeft w:val="0"/>
      <w:marRight w:val="0"/>
      <w:marTop w:val="0"/>
      <w:marBottom w:val="0"/>
      <w:divBdr>
        <w:top w:val="none" w:sz="0" w:space="0" w:color="auto"/>
        <w:left w:val="none" w:sz="0" w:space="0" w:color="auto"/>
        <w:bottom w:val="none" w:sz="0" w:space="0" w:color="auto"/>
        <w:right w:val="none" w:sz="0" w:space="0" w:color="auto"/>
      </w:divBdr>
      <w:divsChild>
        <w:div w:id="2131047343">
          <w:marLeft w:val="0"/>
          <w:marRight w:val="0"/>
          <w:marTop w:val="0"/>
          <w:marBottom w:val="0"/>
          <w:divBdr>
            <w:top w:val="none" w:sz="0" w:space="0" w:color="auto"/>
            <w:left w:val="none" w:sz="0" w:space="0" w:color="auto"/>
            <w:bottom w:val="none" w:sz="0" w:space="0" w:color="auto"/>
            <w:right w:val="none" w:sz="0" w:space="0" w:color="auto"/>
          </w:divBdr>
          <w:divsChild>
            <w:div w:id="582035485">
              <w:marLeft w:val="0"/>
              <w:marRight w:val="0"/>
              <w:marTop w:val="0"/>
              <w:marBottom w:val="0"/>
              <w:divBdr>
                <w:top w:val="none" w:sz="0" w:space="0" w:color="auto"/>
                <w:left w:val="none" w:sz="0" w:space="0" w:color="auto"/>
                <w:bottom w:val="none" w:sz="0" w:space="0" w:color="auto"/>
                <w:right w:val="none" w:sz="0" w:space="0" w:color="auto"/>
              </w:divBdr>
              <w:divsChild>
                <w:div w:id="17950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450017">
      <w:bodyDiv w:val="1"/>
      <w:marLeft w:val="0"/>
      <w:marRight w:val="0"/>
      <w:marTop w:val="0"/>
      <w:marBottom w:val="0"/>
      <w:divBdr>
        <w:top w:val="none" w:sz="0" w:space="0" w:color="auto"/>
        <w:left w:val="none" w:sz="0" w:space="0" w:color="auto"/>
        <w:bottom w:val="none" w:sz="0" w:space="0" w:color="auto"/>
        <w:right w:val="none" w:sz="0" w:space="0" w:color="auto"/>
      </w:divBdr>
    </w:div>
    <w:div w:id="1734890625">
      <w:bodyDiv w:val="1"/>
      <w:marLeft w:val="0"/>
      <w:marRight w:val="0"/>
      <w:marTop w:val="0"/>
      <w:marBottom w:val="0"/>
      <w:divBdr>
        <w:top w:val="none" w:sz="0" w:space="0" w:color="auto"/>
        <w:left w:val="none" w:sz="0" w:space="0" w:color="auto"/>
        <w:bottom w:val="none" w:sz="0" w:space="0" w:color="auto"/>
        <w:right w:val="none" w:sz="0" w:space="0" w:color="auto"/>
      </w:divBdr>
    </w:div>
    <w:div w:id="1747916642">
      <w:bodyDiv w:val="1"/>
      <w:marLeft w:val="0"/>
      <w:marRight w:val="0"/>
      <w:marTop w:val="0"/>
      <w:marBottom w:val="0"/>
      <w:divBdr>
        <w:top w:val="none" w:sz="0" w:space="0" w:color="auto"/>
        <w:left w:val="none" w:sz="0" w:space="0" w:color="auto"/>
        <w:bottom w:val="none" w:sz="0" w:space="0" w:color="auto"/>
        <w:right w:val="none" w:sz="0" w:space="0" w:color="auto"/>
      </w:divBdr>
      <w:divsChild>
        <w:div w:id="121508468">
          <w:marLeft w:val="0"/>
          <w:marRight w:val="0"/>
          <w:marTop w:val="0"/>
          <w:marBottom w:val="0"/>
          <w:divBdr>
            <w:top w:val="none" w:sz="0" w:space="0" w:color="auto"/>
            <w:left w:val="none" w:sz="0" w:space="0" w:color="auto"/>
            <w:bottom w:val="none" w:sz="0" w:space="0" w:color="auto"/>
            <w:right w:val="none" w:sz="0" w:space="0" w:color="auto"/>
          </w:divBdr>
          <w:divsChild>
            <w:div w:id="1868831566">
              <w:marLeft w:val="0"/>
              <w:marRight w:val="0"/>
              <w:marTop w:val="0"/>
              <w:marBottom w:val="0"/>
              <w:divBdr>
                <w:top w:val="none" w:sz="0" w:space="0" w:color="auto"/>
                <w:left w:val="none" w:sz="0" w:space="0" w:color="auto"/>
                <w:bottom w:val="none" w:sz="0" w:space="0" w:color="auto"/>
                <w:right w:val="none" w:sz="0" w:space="0" w:color="auto"/>
              </w:divBdr>
              <w:divsChild>
                <w:div w:id="5700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51669">
      <w:bodyDiv w:val="1"/>
      <w:marLeft w:val="0"/>
      <w:marRight w:val="0"/>
      <w:marTop w:val="0"/>
      <w:marBottom w:val="0"/>
      <w:divBdr>
        <w:top w:val="none" w:sz="0" w:space="0" w:color="auto"/>
        <w:left w:val="none" w:sz="0" w:space="0" w:color="auto"/>
        <w:bottom w:val="none" w:sz="0" w:space="0" w:color="auto"/>
        <w:right w:val="none" w:sz="0" w:space="0" w:color="auto"/>
      </w:divBdr>
    </w:div>
    <w:div w:id="1754083894">
      <w:bodyDiv w:val="1"/>
      <w:marLeft w:val="0"/>
      <w:marRight w:val="0"/>
      <w:marTop w:val="0"/>
      <w:marBottom w:val="0"/>
      <w:divBdr>
        <w:top w:val="none" w:sz="0" w:space="0" w:color="auto"/>
        <w:left w:val="none" w:sz="0" w:space="0" w:color="auto"/>
        <w:bottom w:val="none" w:sz="0" w:space="0" w:color="auto"/>
        <w:right w:val="none" w:sz="0" w:space="0" w:color="auto"/>
      </w:divBdr>
      <w:divsChild>
        <w:div w:id="99105055">
          <w:marLeft w:val="0"/>
          <w:marRight w:val="0"/>
          <w:marTop w:val="0"/>
          <w:marBottom w:val="0"/>
          <w:divBdr>
            <w:top w:val="none" w:sz="0" w:space="0" w:color="auto"/>
            <w:left w:val="none" w:sz="0" w:space="0" w:color="auto"/>
            <w:bottom w:val="none" w:sz="0" w:space="0" w:color="auto"/>
            <w:right w:val="none" w:sz="0" w:space="0" w:color="auto"/>
          </w:divBdr>
          <w:divsChild>
            <w:div w:id="1698190739">
              <w:marLeft w:val="0"/>
              <w:marRight w:val="0"/>
              <w:marTop w:val="0"/>
              <w:marBottom w:val="0"/>
              <w:divBdr>
                <w:top w:val="none" w:sz="0" w:space="0" w:color="auto"/>
                <w:left w:val="none" w:sz="0" w:space="0" w:color="auto"/>
                <w:bottom w:val="none" w:sz="0" w:space="0" w:color="auto"/>
                <w:right w:val="none" w:sz="0" w:space="0" w:color="auto"/>
              </w:divBdr>
              <w:divsChild>
                <w:div w:id="80196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88691">
      <w:bodyDiv w:val="1"/>
      <w:marLeft w:val="0"/>
      <w:marRight w:val="0"/>
      <w:marTop w:val="0"/>
      <w:marBottom w:val="0"/>
      <w:divBdr>
        <w:top w:val="none" w:sz="0" w:space="0" w:color="auto"/>
        <w:left w:val="none" w:sz="0" w:space="0" w:color="auto"/>
        <w:bottom w:val="none" w:sz="0" w:space="0" w:color="auto"/>
        <w:right w:val="none" w:sz="0" w:space="0" w:color="auto"/>
      </w:divBdr>
      <w:divsChild>
        <w:div w:id="869729203">
          <w:marLeft w:val="0"/>
          <w:marRight w:val="0"/>
          <w:marTop w:val="0"/>
          <w:marBottom w:val="0"/>
          <w:divBdr>
            <w:top w:val="none" w:sz="0" w:space="0" w:color="auto"/>
            <w:left w:val="none" w:sz="0" w:space="0" w:color="auto"/>
            <w:bottom w:val="none" w:sz="0" w:space="0" w:color="auto"/>
            <w:right w:val="none" w:sz="0" w:space="0" w:color="auto"/>
          </w:divBdr>
          <w:divsChild>
            <w:div w:id="1556310869">
              <w:marLeft w:val="0"/>
              <w:marRight w:val="0"/>
              <w:marTop w:val="0"/>
              <w:marBottom w:val="0"/>
              <w:divBdr>
                <w:top w:val="none" w:sz="0" w:space="0" w:color="auto"/>
                <w:left w:val="none" w:sz="0" w:space="0" w:color="auto"/>
                <w:bottom w:val="none" w:sz="0" w:space="0" w:color="auto"/>
                <w:right w:val="none" w:sz="0" w:space="0" w:color="auto"/>
              </w:divBdr>
              <w:divsChild>
                <w:div w:id="154005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3703">
      <w:bodyDiv w:val="1"/>
      <w:marLeft w:val="0"/>
      <w:marRight w:val="0"/>
      <w:marTop w:val="0"/>
      <w:marBottom w:val="0"/>
      <w:divBdr>
        <w:top w:val="none" w:sz="0" w:space="0" w:color="auto"/>
        <w:left w:val="none" w:sz="0" w:space="0" w:color="auto"/>
        <w:bottom w:val="none" w:sz="0" w:space="0" w:color="auto"/>
        <w:right w:val="none" w:sz="0" w:space="0" w:color="auto"/>
      </w:divBdr>
      <w:divsChild>
        <w:div w:id="1857159818">
          <w:marLeft w:val="0"/>
          <w:marRight w:val="0"/>
          <w:marTop w:val="0"/>
          <w:marBottom w:val="0"/>
          <w:divBdr>
            <w:top w:val="none" w:sz="0" w:space="0" w:color="auto"/>
            <w:left w:val="none" w:sz="0" w:space="0" w:color="auto"/>
            <w:bottom w:val="none" w:sz="0" w:space="0" w:color="auto"/>
            <w:right w:val="none" w:sz="0" w:space="0" w:color="auto"/>
          </w:divBdr>
          <w:divsChild>
            <w:div w:id="1526821847">
              <w:marLeft w:val="0"/>
              <w:marRight w:val="0"/>
              <w:marTop w:val="0"/>
              <w:marBottom w:val="0"/>
              <w:divBdr>
                <w:top w:val="none" w:sz="0" w:space="0" w:color="auto"/>
                <w:left w:val="none" w:sz="0" w:space="0" w:color="auto"/>
                <w:bottom w:val="none" w:sz="0" w:space="0" w:color="auto"/>
                <w:right w:val="none" w:sz="0" w:space="0" w:color="auto"/>
              </w:divBdr>
              <w:divsChild>
                <w:div w:id="573663235">
                  <w:marLeft w:val="0"/>
                  <w:marRight w:val="0"/>
                  <w:marTop w:val="0"/>
                  <w:marBottom w:val="0"/>
                  <w:divBdr>
                    <w:top w:val="none" w:sz="0" w:space="0" w:color="auto"/>
                    <w:left w:val="none" w:sz="0" w:space="0" w:color="auto"/>
                    <w:bottom w:val="none" w:sz="0" w:space="0" w:color="auto"/>
                    <w:right w:val="none" w:sz="0" w:space="0" w:color="auto"/>
                  </w:divBdr>
                </w:div>
              </w:divsChild>
            </w:div>
            <w:div w:id="890267308">
              <w:marLeft w:val="0"/>
              <w:marRight w:val="0"/>
              <w:marTop w:val="0"/>
              <w:marBottom w:val="0"/>
              <w:divBdr>
                <w:top w:val="none" w:sz="0" w:space="0" w:color="auto"/>
                <w:left w:val="none" w:sz="0" w:space="0" w:color="auto"/>
                <w:bottom w:val="none" w:sz="0" w:space="0" w:color="auto"/>
                <w:right w:val="none" w:sz="0" w:space="0" w:color="auto"/>
              </w:divBdr>
              <w:divsChild>
                <w:div w:id="860239058">
                  <w:marLeft w:val="0"/>
                  <w:marRight w:val="0"/>
                  <w:marTop w:val="0"/>
                  <w:marBottom w:val="0"/>
                  <w:divBdr>
                    <w:top w:val="none" w:sz="0" w:space="0" w:color="auto"/>
                    <w:left w:val="none" w:sz="0" w:space="0" w:color="auto"/>
                    <w:bottom w:val="none" w:sz="0" w:space="0" w:color="auto"/>
                    <w:right w:val="none" w:sz="0" w:space="0" w:color="auto"/>
                  </w:divBdr>
                </w:div>
                <w:div w:id="1843280131">
                  <w:marLeft w:val="0"/>
                  <w:marRight w:val="0"/>
                  <w:marTop w:val="0"/>
                  <w:marBottom w:val="0"/>
                  <w:divBdr>
                    <w:top w:val="none" w:sz="0" w:space="0" w:color="auto"/>
                    <w:left w:val="none" w:sz="0" w:space="0" w:color="auto"/>
                    <w:bottom w:val="none" w:sz="0" w:space="0" w:color="auto"/>
                    <w:right w:val="none" w:sz="0" w:space="0" w:color="auto"/>
                  </w:divBdr>
                </w:div>
              </w:divsChild>
            </w:div>
            <w:div w:id="567376747">
              <w:marLeft w:val="0"/>
              <w:marRight w:val="0"/>
              <w:marTop w:val="0"/>
              <w:marBottom w:val="0"/>
              <w:divBdr>
                <w:top w:val="none" w:sz="0" w:space="0" w:color="auto"/>
                <w:left w:val="none" w:sz="0" w:space="0" w:color="auto"/>
                <w:bottom w:val="none" w:sz="0" w:space="0" w:color="auto"/>
                <w:right w:val="none" w:sz="0" w:space="0" w:color="auto"/>
              </w:divBdr>
              <w:divsChild>
                <w:div w:id="94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52458">
      <w:bodyDiv w:val="1"/>
      <w:marLeft w:val="0"/>
      <w:marRight w:val="0"/>
      <w:marTop w:val="0"/>
      <w:marBottom w:val="0"/>
      <w:divBdr>
        <w:top w:val="none" w:sz="0" w:space="0" w:color="auto"/>
        <w:left w:val="none" w:sz="0" w:space="0" w:color="auto"/>
        <w:bottom w:val="none" w:sz="0" w:space="0" w:color="auto"/>
        <w:right w:val="none" w:sz="0" w:space="0" w:color="auto"/>
      </w:divBdr>
      <w:divsChild>
        <w:div w:id="1762948616">
          <w:marLeft w:val="0"/>
          <w:marRight w:val="0"/>
          <w:marTop w:val="0"/>
          <w:marBottom w:val="0"/>
          <w:divBdr>
            <w:top w:val="single" w:sz="2" w:space="0" w:color="auto"/>
            <w:left w:val="single" w:sz="2" w:space="0" w:color="auto"/>
            <w:bottom w:val="single" w:sz="2" w:space="0" w:color="auto"/>
            <w:right w:val="single" w:sz="2" w:space="0" w:color="auto"/>
          </w:divBdr>
          <w:divsChild>
            <w:div w:id="18314857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62723806">
      <w:bodyDiv w:val="1"/>
      <w:marLeft w:val="0"/>
      <w:marRight w:val="0"/>
      <w:marTop w:val="0"/>
      <w:marBottom w:val="0"/>
      <w:divBdr>
        <w:top w:val="none" w:sz="0" w:space="0" w:color="auto"/>
        <w:left w:val="none" w:sz="0" w:space="0" w:color="auto"/>
        <w:bottom w:val="none" w:sz="0" w:space="0" w:color="auto"/>
        <w:right w:val="none" w:sz="0" w:space="0" w:color="auto"/>
      </w:divBdr>
    </w:div>
    <w:div w:id="1765539905">
      <w:bodyDiv w:val="1"/>
      <w:marLeft w:val="0"/>
      <w:marRight w:val="0"/>
      <w:marTop w:val="0"/>
      <w:marBottom w:val="0"/>
      <w:divBdr>
        <w:top w:val="none" w:sz="0" w:space="0" w:color="auto"/>
        <w:left w:val="none" w:sz="0" w:space="0" w:color="auto"/>
        <w:bottom w:val="none" w:sz="0" w:space="0" w:color="auto"/>
        <w:right w:val="none" w:sz="0" w:space="0" w:color="auto"/>
      </w:divBdr>
      <w:divsChild>
        <w:div w:id="1286546211">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765606833">
      <w:bodyDiv w:val="1"/>
      <w:marLeft w:val="0"/>
      <w:marRight w:val="0"/>
      <w:marTop w:val="0"/>
      <w:marBottom w:val="0"/>
      <w:divBdr>
        <w:top w:val="none" w:sz="0" w:space="0" w:color="auto"/>
        <w:left w:val="none" w:sz="0" w:space="0" w:color="auto"/>
        <w:bottom w:val="none" w:sz="0" w:space="0" w:color="auto"/>
        <w:right w:val="none" w:sz="0" w:space="0" w:color="auto"/>
      </w:divBdr>
    </w:div>
    <w:div w:id="1771391519">
      <w:bodyDiv w:val="1"/>
      <w:marLeft w:val="0"/>
      <w:marRight w:val="0"/>
      <w:marTop w:val="0"/>
      <w:marBottom w:val="0"/>
      <w:divBdr>
        <w:top w:val="none" w:sz="0" w:space="0" w:color="auto"/>
        <w:left w:val="none" w:sz="0" w:space="0" w:color="auto"/>
        <w:bottom w:val="none" w:sz="0" w:space="0" w:color="auto"/>
        <w:right w:val="none" w:sz="0" w:space="0" w:color="auto"/>
      </w:divBdr>
    </w:div>
    <w:div w:id="1774933715">
      <w:bodyDiv w:val="1"/>
      <w:marLeft w:val="0"/>
      <w:marRight w:val="0"/>
      <w:marTop w:val="0"/>
      <w:marBottom w:val="0"/>
      <w:divBdr>
        <w:top w:val="none" w:sz="0" w:space="0" w:color="auto"/>
        <w:left w:val="none" w:sz="0" w:space="0" w:color="auto"/>
        <w:bottom w:val="none" w:sz="0" w:space="0" w:color="auto"/>
        <w:right w:val="none" w:sz="0" w:space="0" w:color="auto"/>
      </w:divBdr>
    </w:div>
    <w:div w:id="1778401626">
      <w:bodyDiv w:val="1"/>
      <w:marLeft w:val="0"/>
      <w:marRight w:val="0"/>
      <w:marTop w:val="0"/>
      <w:marBottom w:val="0"/>
      <w:divBdr>
        <w:top w:val="none" w:sz="0" w:space="0" w:color="auto"/>
        <w:left w:val="none" w:sz="0" w:space="0" w:color="auto"/>
        <w:bottom w:val="none" w:sz="0" w:space="0" w:color="auto"/>
        <w:right w:val="none" w:sz="0" w:space="0" w:color="auto"/>
      </w:divBdr>
    </w:div>
    <w:div w:id="1783842127">
      <w:bodyDiv w:val="1"/>
      <w:marLeft w:val="0"/>
      <w:marRight w:val="0"/>
      <w:marTop w:val="0"/>
      <w:marBottom w:val="0"/>
      <w:divBdr>
        <w:top w:val="none" w:sz="0" w:space="0" w:color="auto"/>
        <w:left w:val="none" w:sz="0" w:space="0" w:color="auto"/>
        <w:bottom w:val="none" w:sz="0" w:space="0" w:color="auto"/>
        <w:right w:val="none" w:sz="0" w:space="0" w:color="auto"/>
      </w:divBdr>
    </w:div>
    <w:div w:id="1787388182">
      <w:bodyDiv w:val="1"/>
      <w:marLeft w:val="0"/>
      <w:marRight w:val="0"/>
      <w:marTop w:val="0"/>
      <w:marBottom w:val="0"/>
      <w:divBdr>
        <w:top w:val="none" w:sz="0" w:space="0" w:color="auto"/>
        <w:left w:val="none" w:sz="0" w:space="0" w:color="auto"/>
        <w:bottom w:val="none" w:sz="0" w:space="0" w:color="auto"/>
        <w:right w:val="none" w:sz="0" w:space="0" w:color="auto"/>
      </w:divBdr>
    </w:div>
    <w:div w:id="1802915300">
      <w:bodyDiv w:val="1"/>
      <w:marLeft w:val="0"/>
      <w:marRight w:val="0"/>
      <w:marTop w:val="0"/>
      <w:marBottom w:val="0"/>
      <w:divBdr>
        <w:top w:val="none" w:sz="0" w:space="0" w:color="auto"/>
        <w:left w:val="none" w:sz="0" w:space="0" w:color="auto"/>
        <w:bottom w:val="none" w:sz="0" w:space="0" w:color="auto"/>
        <w:right w:val="none" w:sz="0" w:space="0" w:color="auto"/>
      </w:divBdr>
    </w:div>
    <w:div w:id="1819108461">
      <w:bodyDiv w:val="1"/>
      <w:marLeft w:val="0"/>
      <w:marRight w:val="0"/>
      <w:marTop w:val="0"/>
      <w:marBottom w:val="0"/>
      <w:divBdr>
        <w:top w:val="none" w:sz="0" w:space="0" w:color="auto"/>
        <w:left w:val="none" w:sz="0" w:space="0" w:color="auto"/>
        <w:bottom w:val="none" w:sz="0" w:space="0" w:color="auto"/>
        <w:right w:val="none" w:sz="0" w:space="0" w:color="auto"/>
      </w:divBdr>
    </w:div>
    <w:div w:id="1819957248">
      <w:bodyDiv w:val="1"/>
      <w:marLeft w:val="0"/>
      <w:marRight w:val="0"/>
      <w:marTop w:val="0"/>
      <w:marBottom w:val="0"/>
      <w:divBdr>
        <w:top w:val="none" w:sz="0" w:space="0" w:color="auto"/>
        <w:left w:val="none" w:sz="0" w:space="0" w:color="auto"/>
        <w:bottom w:val="none" w:sz="0" w:space="0" w:color="auto"/>
        <w:right w:val="none" w:sz="0" w:space="0" w:color="auto"/>
      </w:divBdr>
    </w:div>
    <w:div w:id="1830561662">
      <w:bodyDiv w:val="1"/>
      <w:marLeft w:val="0"/>
      <w:marRight w:val="0"/>
      <w:marTop w:val="0"/>
      <w:marBottom w:val="0"/>
      <w:divBdr>
        <w:top w:val="none" w:sz="0" w:space="0" w:color="auto"/>
        <w:left w:val="none" w:sz="0" w:space="0" w:color="auto"/>
        <w:bottom w:val="none" w:sz="0" w:space="0" w:color="auto"/>
        <w:right w:val="none" w:sz="0" w:space="0" w:color="auto"/>
      </w:divBdr>
    </w:div>
    <w:div w:id="1835488663">
      <w:bodyDiv w:val="1"/>
      <w:marLeft w:val="0"/>
      <w:marRight w:val="0"/>
      <w:marTop w:val="0"/>
      <w:marBottom w:val="0"/>
      <w:divBdr>
        <w:top w:val="none" w:sz="0" w:space="0" w:color="auto"/>
        <w:left w:val="none" w:sz="0" w:space="0" w:color="auto"/>
        <w:bottom w:val="none" w:sz="0" w:space="0" w:color="auto"/>
        <w:right w:val="none" w:sz="0" w:space="0" w:color="auto"/>
      </w:divBdr>
    </w:div>
    <w:div w:id="1835948077">
      <w:bodyDiv w:val="1"/>
      <w:marLeft w:val="0"/>
      <w:marRight w:val="0"/>
      <w:marTop w:val="0"/>
      <w:marBottom w:val="0"/>
      <w:divBdr>
        <w:top w:val="none" w:sz="0" w:space="0" w:color="auto"/>
        <w:left w:val="none" w:sz="0" w:space="0" w:color="auto"/>
        <w:bottom w:val="none" w:sz="0" w:space="0" w:color="auto"/>
        <w:right w:val="none" w:sz="0" w:space="0" w:color="auto"/>
      </w:divBdr>
      <w:divsChild>
        <w:div w:id="1209800882">
          <w:marLeft w:val="0"/>
          <w:marRight w:val="0"/>
          <w:marTop w:val="0"/>
          <w:marBottom w:val="0"/>
          <w:divBdr>
            <w:top w:val="none" w:sz="0" w:space="0" w:color="auto"/>
            <w:left w:val="none" w:sz="0" w:space="0" w:color="auto"/>
            <w:bottom w:val="none" w:sz="0" w:space="0" w:color="auto"/>
            <w:right w:val="none" w:sz="0" w:space="0" w:color="auto"/>
          </w:divBdr>
          <w:divsChild>
            <w:div w:id="1350913949">
              <w:marLeft w:val="0"/>
              <w:marRight w:val="0"/>
              <w:marTop w:val="0"/>
              <w:marBottom w:val="0"/>
              <w:divBdr>
                <w:top w:val="none" w:sz="0" w:space="0" w:color="auto"/>
                <w:left w:val="none" w:sz="0" w:space="0" w:color="auto"/>
                <w:bottom w:val="none" w:sz="0" w:space="0" w:color="auto"/>
                <w:right w:val="none" w:sz="0" w:space="0" w:color="auto"/>
              </w:divBdr>
              <w:divsChild>
                <w:div w:id="19326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452061">
      <w:bodyDiv w:val="1"/>
      <w:marLeft w:val="0"/>
      <w:marRight w:val="0"/>
      <w:marTop w:val="0"/>
      <w:marBottom w:val="0"/>
      <w:divBdr>
        <w:top w:val="none" w:sz="0" w:space="0" w:color="auto"/>
        <w:left w:val="none" w:sz="0" w:space="0" w:color="auto"/>
        <w:bottom w:val="none" w:sz="0" w:space="0" w:color="auto"/>
        <w:right w:val="none" w:sz="0" w:space="0" w:color="auto"/>
      </w:divBdr>
    </w:div>
    <w:div w:id="1860780713">
      <w:bodyDiv w:val="1"/>
      <w:marLeft w:val="0"/>
      <w:marRight w:val="0"/>
      <w:marTop w:val="0"/>
      <w:marBottom w:val="0"/>
      <w:divBdr>
        <w:top w:val="none" w:sz="0" w:space="0" w:color="auto"/>
        <w:left w:val="none" w:sz="0" w:space="0" w:color="auto"/>
        <w:bottom w:val="none" w:sz="0" w:space="0" w:color="auto"/>
        <w:right w:val="none" w:sz="0" w:space="0" w:color="auto"/>
      </w:divBdr>
    </w:div>
    <w:div w:id="1865560498">
      <w:bodyDiv w:val="1"/>
      <w:marLeft w:val="0"/>
      <w:marRight w:val="0"/>
      <w:marTop w:val="0"/>
      <w:marBottom w:val="0"/>
      <w:divBdr>
        <w:top w:val="none" w:sz="0" w:space="0" w:color="auto"/>
        <w:left w:val="none" w:sz="0" w:space="0" w:color="auto"/>
        <w:bottom w:val="none" w:sz="0" w:space="0" w:color="auto"/>
        <w:right w:val="none" w:sz="0" w:space="0" w:color="auto"/>
      </w:divBdr>
    </w:div>
    <w:div w:id="1877423843">
      <w:bodyDiv w:val="1"/>
      <w:marLeft w:val="0"/>
      <w:marRight w:val="0"/>
      <w:marTop w:val="0"/>
      <w:marBottom w:val="0"/>
      <w:divBdr>
        <w:top w:val="none" w:sz="0" w:space="0" w:color="auto"/>
        <w:left w:val="none" w:sz="0" w:space="0" w:color="auto"/>
        <w:bottom w:val="none" w:sz="0" w:space="0" w:color="auto"/>
        <w:right w:val="none" w:sz="0" w:space="0" w:color="auto"/>
      </w:divBdr>
    </w:div>
    <w:div w:id="1883177740">
      <w:bodyDiv w:val="1"/>
      <w:marLeft w:val="0"/>
      <w:marRight w:val="0"/>
      <w:marTop w:val="0"/>
      <w:marBottom w:val="0"/>
      <w:divBdr>
        <w:top w:val="none" w:sz="0" w:space="0" w:color="auto"/>
        <w:left w:val="none" w:sz="0" w:space="0" w:color="auto"/>
        <w:bottom w:val="none" w:sz="0" w:space="0" w:color="auto"/>
        <w:right w:val="none" w:sz="0" w:space="0" w:color="auto"/>
      </w:divBdr>
    </w:div>
    <w:div w:id="1894995914">
      <w:bodyDiv w:val="1"/>
      <w:marLeft w:val="0"/>
      <w:marRight w:val="0"/>
      <w:marTop w:val="0"/>
      <w:marBottom w:val="0"/>
      <w:divBdr>
        <w:top w:val="none" w:sz="0" w:space="0" w:color="auto"/>
        <w:left w:val="none" w:sz="0" w:space="0" w:color="auto"/>
        <w:bottom w:val="none" w:sz="0" w:space="0" w:color="auto"/>
        <w:right w:val="none" w:sz="0" w:space="0" w:color="auto"/>
      </w:divBdr>
    </w:div>
    <w:div w:id="1899899940">
      <w:bodyDiv w:val="1"/>
      <w:marLeft w:val="0"/>
      <w:marRight w:val="0"/>
      <w:marTop w:val="0"/>
      <w:marBottom w:val="0"/>
      <w:divBdr>
        <w:top w:val="none" w:sz="0" w:space="0" w:color="auto"/>
        <w:left w:val="none" w:sz="0" w:space="0" w:color="auto"/>
        <w:bottom w:val="none" w:sz="0" w:space="0" w:color="auto"/>
        <w:right w:val="none" w:sz="0" w:space="0" w:color="auto"/>
      </w:divBdr>
      <w:divsChild>
        <w:div w:id="1774132559">
          <w:marLeft w:val="0"/>
          <w:marRight w:val="0"/>
          <w:marTop w:val="0"/>
          <w:marBottom w:val="0"/>
          <w:divBdr>
            <w:top w:val="none" w:sz="0" w:space="0" w:color="auto"/>
            <w:left w:val="none" w:sz="0" w:space="0" w:color="auto"/>
            <w:bottom w:val="none" w:sz="0" w:space="0" w:color="auto"/>
            <w:right w:val="none" w:sz="0" w:space="0" w:color="auto"/>
          </w:divBdr>
          <w:divsChild>
            <w:div w:id="1275987657">
              <w:marLeft w:val="0"/>
              <w:marRight w:val="0"/>
              <w:marTop w:val="0"/>
              <w:marBottom w:val="0"/>
              <w:divBdr>
                <w:top w:val="none" w:sz="0" w:space="0" w:color="auto"/>
                <w:left w:val="none" w:sz="0" w:space="0" w:color="auto"/>
                <w:bottom w:val="none" w:sz="0" w:space="0" w:color="auto"/>
                <w:right w:val="none" w:sz="0" w:space="0" w:color="auto"/>
              </w:divBdr>
              <w:divsChild>
                <w:div w:id="1586573784">
                  <w:marLeft w:val="0"/>
                  <w:marRight w:val="0"/>
                  <w:marTop w:val="0"/>
                  <w:marBottom w:val="0"/>
                  <w:divBdr>
                    <w:top w:val="none" w:sz="0" w:space="0" w:color="auto"/>
                    <w:left w:val="none" w:sz="0" w:space="0" w:color="auto"/>
                    <w:bottom w:val="none" w:sz="0" w:space="0" w:color="auto"/>
                    <w:right w:val="none" w:sz="0" w:space="0" w:color="auto"/>
                  </w:divBdr>
                  <w:divsChild>
                    <w:div w:id="559049841">
                      <w:marLeft w:val="0"/>
                      <w:marRight w:val="0"/>
                      <w:marTop w:val="0"/>
                      <w:marBottom w:val="0"/>
                      <w:divBdr>
                        <w:top w:val="none" w:sz="0" w:space="0" w:color="auto"/>
                        <w:left w:val="none" w:sz="0" w:space="0" w:color="auto"/>
                        <w:bottom w:val="none" w:sz="0" w:space="0" w:color="auto"/>
                        <w:right w:val="none" w:sz="0" w:space="0" w:color="auto"/>
                      </w:divBdr>
                      <w:divsChild>
                        <w:div w:id="868687218">
                          <w:marLeft w:val="0"/>
                          <w:marRight w:val="0"/>
                          <w:marTop w:val="0"/>
                          <w:marBottom w:val="0"/>
                          <w:divBdr>
                            <w:top w:val="none" w:sz="0" w:space="0" w:color="auto"/>
                            <w:left w:val="none" w:sz="0" w:space="0" w:color="auto"/>
                            <w:bottom w:val="none" w:sz="0" w:space="0" w:color="auto"/>
                            <w:right w:val="none" w:sz="0" w:space="0" w:color="auto"/>
                          </w:divBdr>
                          <w:divsChild>
                            <w:div w:id="102448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165254">
      <w:bodyDiv w:val="1"/>
      <w:marLeft w:val="0"/>
      <w:marRight w:val="0"/>
      <w:marTop w:val="0"/>
      <w:marBottom w:val="0"/>
      <w:divBdr>
        <w:top w:val="none" w:sz="0" w:space="0" w:color="auto"/>
        <w:left w:val="none" w:sz="0" w:space="0" w:color="auto"/>
        <w:bottom w:val="none" w:sz="0" w:space="0" w:color="auto"/>
        <w:right w:val="none" w:sz="0" w:space="0" w:color="auto"/>
      </w:divBdr>
    </w:div>
    <w:div w:id="1902978830">
      <w:bodyDiv w:val="1"/>
      <w:marLeft w:val="0"/>
      <w:marRight w:val="0"/>
      <w:marTop w:val="0"/>
      <w:marBottom w:val="0"/>
      <w:divBdr>
        <w:top w:val="none" w:sz="0" w:space="0" w:color="auto"/>
        <w:left w:val="none" w:sz="0" w:space="0" w:color="auto"/>
        <w:bottom w:val="none" w:sz="0" w:space="0" w:color="auto"/>
        <w:right w:val="none" w:sz="0" w:space="0" w:color="auto"/>
      </w:divBdr>
    </w:div>
    <w:div w:id="1909537631">
      <w:bodyDiv w:val="1"/>
      <w:marLeft w:val="0"/>
      <w:marRight w:val="0"/>
      <w:marTop w:val="0"/>
      <w:marBottom w:val="0"/>
      <w:divBdr>
        <w:top w:val="none" w:sz="0" w:space="0" w:color="auto"/>
        <w:left w:val="none" w:sz="0" w:space="0" w:color="auto"/>
        <w:bottom w:val="none" w:sz="0" w:space="0" w:color="auto"/>
        <w:right w:val="none" w:sz="0" w:space="0" w:color="auto"/>
      </w:divBdr>
    </w:div>
    <w:div w:id="1913196028">
      <w:bodyDiv w:val="1"/>
      <w:marLeft w:val="0"/>
      <w:marRight w:val="0"/>
      <w:marTop w:val="0"/>
      <w:marBottom w:val="0"/>
      <w:divBdr>
        <w:top w:val="none" w:sz="0" w:space="0" w:color="auto"/>
        <w:left w:val="none" w:sz="0" w:space="0" w:color="auto"/>
        <w:bottom w:val="none" w:sz="0" w:space="0" w:color="auto"/>
        <w:right w:val="none" w:sz="0" w:space="0" w:color="auto"/>
      </w:divBdr>
      <w:divsChild>
        <w:div w:id="49042481">
          <w:marLeft w:val="0"/>
          <w:marRight w:val="0"/>
          <w:marTop w:val="0"/>
          <w:marBottom w:val="0"/>
          <w:divBdr>
            <w:top w:val="none" w:sz="0" w:space="0" w:color="auto"/>
            <w:left w:val="none" w:sz="0" w:space="0" w:color="auto"/>
            <w:bottom w:val="none" w:sz="0" w:space="0" w:color="auto"/>
            <w:right w:val="none" w:sz="0" w:space="0" w:color="auto"/>
          </w:divBdr>
          <w:divsChild>
            <w:div w:id="497962797">
              <w:marLeft w:val="0"/>
              <w:marRight w:val="0"/>
              <w:marTop w:val="0"/>
              <w:marBottom w:val="0"/>
              <w:divBdr>
                <w:top w:val="none" w:sz="0" w:space="0" w:color="auto"/>
                <w:left w:val="none" w:sz="0" w:space="0" w:color="auto"/>
                <w:bottom w:val="none" w:sz="0" w:space="0" w:color="auto"/>
                <w:right w:val="none" w:sz="0" w:space="0" w:color="auto"/>
              </w:divBdr>
              <w:divsChild>
                <w:div w:id="4517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223">
      <w:bodyDiv w:val="1"/>
      <w:marLeft w:val="0"/>
      <w:marRight w:val="0"/>
      <w:marTop w:val="0"/>
      <w:marBottom w:val="0"/>
      <w:divBdr>
        <w:top w:val="none" w:sz="0" w:space="0" w:color="auto"/>
        <w:left w:val="none" w:sz="0" w:space="0" w:color="auto"/>
        <w:bottom w:val="none" w:sz="0" w:space="0" w:color="auto"/>
        <w:right w:val="none" w:sz="0" w:space="0" w:color="auto"/>
      </w:divBdr>
    </w:div>
    <w:div w:id="1922324273">
      <w:bodyDiv w:val="1"/>
      <w:marLeft w:val="0"/>
      <w:marRight w:val="0"/>
      <w:marTop w:val="0"/>
      <w:marBottom w:val="0"/>
      <w:divBdr>
        <w:top w:val="none" w:sz="0" w:space="0" w:color="auto"/>
        <w:left w:val="none" w:sz="0" w:space="0" w:color="auto"/>
        <w:bottom w:val="none" w:sz="0" w:space="0" w:color="auto"/>
        <w:right w:val="none" w:sz="0" w:space="0" w:color="auto"/>
      </w:divBdr>
      <w:divsChild>
        <w:div w:id="1532298840">
          <w:marLeft w:val="0"/>
          <w:marRight w:val="0"/>
          <w:marTop w:val="0"/>
          <w:marBottom w:val="0"/>
          <w:divBdr>
            <w:top w:val="none" w:sz="0" w:space="0" w:color="auto"/>
            <w:left w:val="none" w:sz="0" w:space="0" w:color="auto"/>
            <w:bottom w:val="none" w:sz="0" w:space="0" w:color="auto"/>
            <w:right w:val="none" w:sz="0" w:space="0" w:color="auto"/>
          </w:divBdr>
          <w:divsChild>
            <w:div w:id="1299726122">
              <w:marLeft w:val="0"/>
              <w:marRight w:val="0"/>
              <w:marTop w:val="0"/>
              <w:marBottom w:val="0"/>
              <w:divBdr>
                <w:top w:val="none" w:sz="0" w:space="0" w:color="auto"/>
                <w:left w:val="none" w:sz="0" w:space="0" w:color="auto"/>
                <w:bottom w:val="none" w:sz="0" w:space="0" w:color="auto"/>
                <w:right w:val="none" w:sz="0" w:space="0" w:color="auto"/>
              </w:divBdr>
              <w:divsChild>
                <w:div w:id="9879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1193">
      <w:bodyDiv w:val="1"/>
      <w:marLeft w:val="0"/>
      <w:marRight w:val="0"/>
      <w:marTop w:val="0"/>
      <w:marBottom w:val="0"/>
      <w:divBdr>
        <w:top w:val="none" w:sz="0" w:space="0" w:color="auto"/>
        <w:left w:val="none" w:sz="0" w:space="0" w:color="auto"/>
        <w:bottom w:val="none" w:sz="0" w:space="0" w:color="auto"/>
        <w:right w:val="none" w:sz="0" w:space="0" w:color="auto"/>
      </w:divBdr>
    </w:div>
    <w:div w:id="1932616303">
      <w:bodyDiv w:val="1"/>
      <w:marLeft w:val="0"/>
      <w:marRight w:val="0"/>
      <w:marTop w:val="0"/>
      <w:marBottom w:val="0"/>
      <w:divBdr>
        <w:top w:val="none" w:sz="0" w:space="0" w:color="auto"/>
        <w:left w:val="none" w:sz="0" w:space="0" w:color="auto"/>
        <w:bottom w:val="none" w:sz="0" w:space="0" w:color="auto"/>
        <w:right w:val="none" w:sz="0" w:space="0" w:color="auto"/>
      </w:divBdr>
      <w:divsChild>
        <w:div w:id="1617058246">
          <w:marLeft w:val="0"/>
          <w:marRight w:val="0"/>
          <w:marTop w:val="0"/>
          <w:marBottom w:val="0"/>
          <w:divBdr>
            <w:top w:val="none" w:sz="0" w:space="0" w:color="auto"/>
            <w:left w:val="none" w:sz="0" w:space="0" w:color="auto"/>
            <w:bottom w:val="none" w:sz="0" w:space="0" w:color="auto"/>
            <w:right w:val="none" w:sz="0" w:space="0" w:color="auto"/>
          </w:divBdr>
          <w:divsChild>
            <w:div w:id="720204329">
              <w:marLeft w:val="0"/>
              <w:marRight w:val="0"/>
              <w:marTop w:val="0"/>
              <w:marBottom w:val="0"/>
              <w:divBdr>
                <w:top w:val="none" w:sz="0" w:space="0" w:color="auto"/>
                <w:left w:val="none" w:sz="0" w:space="0" w:color="auto"/>
                <w:bottom w:val="none" w:sz="0" w:space="0" w:color="auto"/>
                <w:right w:val="none" w:sz="0" w:space="0" w:color="auto"/>
              </w:divBdr>
              <w:divsChild>
                <w:div w:id="1562132125">
                  <w:marLeft w:val="0"/>
                  <w:marRight w:val="0"/>
                  <w:marTop w:val="0"/>
                  <w:marBottom w:val="0"/>
                  <w:divBdr>
                    <w:top w:val="none" w:sz="0" w:space="0" w:color="auto"/>
                    <w:left w:val="none" w:sz="0" w:space="0" w:color="auto"/>
                    <w:bottom w:val="none" w:sz="0" w:space="0" w:color="auto"/>
                    <w:right w:val="none" w:sz="0" w:space="0" w:color="auto"/>
                  </w:divBdr>
                </w:div>
              </w:divsChild>
            </w:div>
            <w:div w:id="229073949">
              <w:marLeft w:val="0"/>
              <w:marRight w:val="0"/>
              <w:marTop w:val="0"/>
              <w:marBottom w:val="0"/>
              <w:divBdr>
                <w:top w:val="none" w:sz="0" w:space="0" w:color="auto"/>
                <w:left w:val="none" w:sz="0" w:space="0" w:color="auto"/>
                <w:bottom w:val="none" w:sz="0" w:space="0" w:color="auto"/>
                <w:right w:val="none" w:sz="0" w:space="0" w:color="auto"/>
              </w:divBdr>
              <w:divsChild>
                <w:div w:id="97649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3828">
          <w:marLeft w:val="0"/>
          <w:marRight w:val="0"/>
          <w:marTop w:val="0"/>
          <w:marBottom w:val="0"/>
          <w:divBdr>
            <w:top w:val="none" w:sz="0" w:space="0" w:color="auto"/>
            <w:left w:val="none" w:sz="0" w:space="0" w:color="auto"/>
            <w:bottom w:val="none" w:sz="0" w:space="0" w:color="auto"/>
            <w:right w:val="none" w:sz="0" w:space="0" w:color="auto"/>
          </w:divBdr>
          <w:divsChild>
            <w:div w:id="567155548">
              <w:marLeft w:val="0"/>
              <w:marRight w:val="0"/>
              <w:marTop w:val="0"/>
              <w:marBottom w:val="0"/>
              <w:divBdr>
                <w:top w:val="none" w:sz="0" w:space="0" w:color="auto"/>
                <w:left w:val="none" w:sz="0" w:space="0" w:color="auto"/>
                <w:bottom w:val="none" w:sz="0" w:space="0" w:color="auto"/>
                <w:right w:val="none" w:sz="0" w:space="0" w:color="auto"/>
              </w:divBdr>
              <w:divsChild>
                <w:div w:id="630018985">
                  <w:marLeft w:val="0"/>
                  <w:marRight w:val="0"/>
                  <w:marTop w:val="0"/>
                  <w:marBottom w:val="0"/>
                  <w:divBdr>
                    <w:top w:val="none" w:sz="0" w:space="0" w:color="auto"/>
                    <w:left w:val="none" w:sz="0" w:space="0" w:color="auto"/>
                    <w:bottom w:val="none" w:sz="0" w:space="0" w:color="auto"/>
                    <w:right w:val="none" w:sz="0" w:space="0" w:color="auto"/>
                  </w:divBdr>
                </w:div>
              </w:divsChild>
            </w:div>
            <w:div w:id="2051101336">
              <w:marLeft w:val="0"/>
              <w:marRight w:val="0"/>
              <w:marTop w:val="0"/>
              <w:marBottom w:val="0"/>
              <w:divBdr>
                <w:top w:val="none" w:sz="0" w:space="0" w:color="auto"/>
                <w:left w:val="none" w:sz="0" w:space="0" w:color="auto"/>
                <w:bottom w:val="none" w:sz="0" w:space="0" w:color="auto"/>
                <w:right w:val="none" w:sz="0" w:space="0" w:color="auto"/>
              </w:divBdr>
              <w:divsChild>
                <w:div w:id="7334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973978">
          <w:marLeft w:val="0"/>
          <w:marRight w:val="0"/>
          <w:marTop w:val="0"/>
          <w:marBottom w:val="0"/>
          <w:divBdr>
            <w:top w:val="none" w:sz="0" w:space="0" w:color="auto"/>
            <w:left w:val="none" w:sz="0" w:space="0" w:color="auto"/>
            <w:bottom w:val="none" w:sz="0" w:space="0" w:color="auto"/>
            <w:right w:val="none" w:sz="0" w:space="0" w:color="auto"/>
          </w:divBdr>
          <w:divsChild>
            <w:div w:id="786201449">
              <w:marLeft w:val="0"/>
              <w:marRight w:val="0"/>
              <w:marTop w:val="0"/>
              <w:marBottom w:val="0"/>
              <w:divBdr>
                <w:top w:val="none" w:sz="0" w:space="0" w:color="auto"/>
                <w:left w:val="none" w:sz="0" w:space="0" w:color="auto"/>
                <w:bottom w:val="none" w:sz="0" w:space="0" w:color="auto"/>
                <w:right w:val="none" w:sz="0" w:space="0" w:color="auto"/>
              </w:divBdr>
              <w:divsChild>
                <w:div w:id="110961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479297">
      <w:bodyDiv w:val="1"/>
      <w:marLeft w:val="0"/>
      <w:marRight w:val="0"/>
      <w:marTop w:val="0"/>
      <w:marBottom w:val="0"/>
      <w:divBdr>
        <w:top w:val="none" w:sz="0" w:space="0" w:color="auto"/>
        <w:left w:val="none" w:sz="0" w:space="0" w:color="auto"/>
        <w:bottom w:val="none" w:sz="0" w:space="0" w:color="auto"/>
        <w:right w:val="none" w:sz="0" w:space="0" w:color="auto"/>
      </w:divBdr>
    </w:div>
    <w:div w:id="1952131804">
      <w:bodyDiv w:val="1"/>
      <w:marLeft w:val="0"/>
      <w:marRight w:val="0"/>
      <w:marTop w:val="0"/>
      <w:marBottom w:val="0"/>
      <w:divBdr>
        <w:top w:val="none" w:sz="0" w:space="0" w:color="auto"/>
        <w:left w:val="none" w:sz="0" w:space="0" w:color="auto"/>
        <w:bottom w:val="none" w:sz="0" w:space="0" w:color="auto"/>
        <w:right w:val="none" w:sz="0" w:space="0" w:color="auto"/>
      </w:divBdr>
      <w:divsChild>
        <w:div w:id="1462264121">
          <w:marLeft w:val="0"/>
          <w:marRight w:val="0"/>
          <w:marTop w:val="0"/>
          <w:marBottom w:val="0"/>
          <w:divBdr>
            <w:top w:val="none" w:sz="0" w:space="0" w:color="auto"/>
            <w:left w:val="none" w:sz="0" w:space="0" w:color="auto"/>
            <w:bottom w:val="none" w:sz="0" w:space="0" w:color="auto"/>
            <w:right w:val="none" w:sz="0" w:space="0" w:color="auto"/>
          </w:divBdr>
          <w:divsChild>
            <w:div w:id="974213938">
              <w:marLeft w:val="0"/>
              <w:marRight w:val="0"/>
              <w:marTop w:val="0"/>
              <w:marBottom w:val="0"/>
              <w:divBdr>
                <w:top w:val="none" w:sz="0" w:space="0" w:color="auto"/>
                <w:left w:val="none" w:sz="0" w:space="0" w:color="auto"/>
                <w:bottom w:val="none" w:sz="0" w:space="0" w:color="auto"/>
                <w:right w:val="none" w:sz="0" w:space="0" w:color="auto"/>
              </w:divBdr>
              <w:divsChild>
                <w:div w:id="16814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53835">
      <w:bodyDiv w:val="1"/>
      <w:marLeft w:val="0"/>
      <w:marRight w:val="0"/>
      <w:marTop w:val="0"/>
      <w:marBottom w:val="0"/>
      <w:divBdr>
        <w:top w:val="none" w:sz="0" w:space="0" w:color="auto"/>
        <w:left w:val="none" w:sz="0" w:space="0" w:color="auto"/>
        <w:bottom w:val="none" w:sz="0" w:space="0" w:color="auto"/>
        <w:right w:val="none" w:sz="0" w:space="0" w:color="auto"/>
      </w:divBdr>
    </w:div>
    <w:div w:id="1955018085">
      <w:bodyDiv w:val="1"/>
      <w:marLeft w:val="0"/>
      <w:marRight w:val="0"/>
      <w:marTop w:val="0"/>
      <w:marBottom w:val="0"/>
      <w:divBdr>
        <w:top w:val="none" w:sz="0" w:space="0" w:color="auto"/>
        <w:left w:val="none" w:sz="0" w:space="0" w:color="auto"/>
        <w:bottom w:val="none" w:sz="0" w:space="0" w:color="auto"/>
        <w:right w:val="none" w:sz="0" w:space="0" w:color="auto"/>
      </w:divBdr>
    </w:div>
    <w:div w:id="1955672782">
      <w:bodyDiv w:val="1"/>
      <w:marLeft w:val="0"/>
      <w:marRight w:val="0"/>
      <w:marTop w:val="0"/>
      <w:marBottom w:val="0"/>
      <w:divBdr>
        <w:top w:val="none" w:sz="0" w:space="0" w:color="auto"/>
        <w:left w:val="none" w:sz="0" w:space="0" w:color="auto"/>
        <w:bottom w:val="none" w:sz="0" w:space="0" w:color="auto"/>
        <w:right w:val="none" w:sz="0" w:space="0" w:color="auto"/>
      </w:divBdr>
    </w:div>
    <w:div w:id="1957901658">
      <w:bodyDiv w:val="1"/>
      <w:marLeft w:val="0"/>
      <w:marRight w:val="0"/>
      <w:marTop w:val="0"/>
      <w:marBottom w:val="0"/>
      <w:divBdr>
        <w:top w:val="none" w:sz="0" w:space="0" w:color="auto"/>
        <w:left w:val="none" w:sz="0" w:space="0" w:color="auto"/>
        <w:bottom w:val="none" w:sz="0" w:space="0" w:color="auto"/>
        <w:right w:val="none" w:sz="0" w:space="0" w:color="auto"/>
      </w:divBdr>
    </w:div>
    <w:div w:id="1960529636">
      <w:bodyDiv w:val="1"/>
      <w:marLeft w:val="0"/>
      <w:marRight w:val="0"/>
      <w:marTop w:val="0"/>
      <w:marBottom w:val="0"/>
      <w:divBdr>
        <w:top w:val="none" w:sz="0" w:space="0" w:color="auto"/>
        <w:left w:val="none" w:sz="0" w:space="0" w:color="auto"/>
        <w:bottom w:val="none" w:sz="0" w:space="0" w:color="auto"/>
        <w:right w:val="none" w:sz="0" w:space="0" w:color="auto"/>
      </w:divBdr>
    </w:div>
    <w:div w:id="1964313080">
      <w:bodyDiv w:val="1"/>
      <w:marLeft w:val="0"/>
      <w:marRight w:val="0"/>
      <w:marTop w:val="0"/>
      <w:marBottom w:val="0"/>
      <w:divBdr>
        <w:top w:val="none" w:sz="0" w:space="0" w:color="auto"/>
        <w:left w:val="none" w:sz="0" w:space="0" w:color="auto"/>
        <w:bottom w:val="none" w:sz="0" w:space="0" w:color="auto"/>
        <w:right w:val="none" w:sz="0" w:space="0" w:color="auto"/>
      </w:divBdr>
    </w:div>
    <w:div w:id="1971126728">
      <w:bodyDiv w:val="1"/>
      <w:marLeft w:val="0"/>
      <w:marRight w:val="0"/>
      <w:marTop w:val="0"/>
      <w:marBottom w:val="0"/>
      <w:divBdr>
        <w:top w:val="none" w:sz="0" w:space="0" w:color="auto"/>
        <w:left w:val="none" w:sz="0" w:space="0" w:color="auto"/>
        <w:bottom w:val="none" w:sz="0" w:space="0" w:color="auto"/>
        <w:right w:val="none" w:sz="0" w:space="0" w:color="auto"/>
      </w:divBdr>
    </w:div>
    <w:div w:id="1980113953">
      <w:bodyDiv w:val="1"/>
      <w:marLeft w:val="0"/>
      <w:marRight w:val="0"/>
      <w:marTop w:val="0"/>
      <w:marBottom w:val="0"/>
      <w:divBdr>
        <w:top w:val="none" w:sz="0" w:space="0" w:color="auto"/>
        <w:left w:val="none" w:sz="0" w:space="0" w:color="auto"/>
        <w:bottom w:val="none" w:sz="0" w:space="0" w:color="auto"/>
        <w:right w:val="none" w:sz="0" w:space="0" w:color="auto"/>
      </w:divBdr>
    </w:div>
    <w:div w:id="1982267404">
      <w:bodyDiv w:val="1"/>
      <w:marLeft w:val="0"/>
      <w:marRight w:val="0"/>
      <w:marTop w:val="0"/>
      <w:marBottom w:val="0"/>
      <w:divBdr>
        <w:top w:val="none" w:sz="0" w:space="0" w:color="auto"/>
        <w:left w:val="none" w:sz="0" w:space="0" w:color="auto"/>
        <w:bottom w:val="none" w:sz="0" w:space="0" w:color="auto"/>
        <w:right w:val="none" w:sz="0" w:space="0" w:color="auto"/>
      </w:divBdr>
    </w:div>
    <w:div w:id="1985546186">
      <w:bodyDiv w:val="1"/>
      <w:marLeft w:val="0"/>
      <w:marRight w:val="0"/>
      <w:marTop w:val="0"/>
      <w:marBottom w:val="0"/>
      <w:divBdr>
        <w:top w:val="none" w:sz="0" w:space="0" w:color="auto"/>
        <w:left w:val="none" w:sz="0" w:space="0" w:color="auto"/>
        <w:bottom w:val="none" w:sz="0" w:space="0" w:color="auto"/>
        <w:right w:val="none" w:sz="0" w:space="0" w:color="auto"/>
      </w:divBdr>
      <w:divsChild>
        <w:div w:id="152260376">
          <w:marLeft w:val="0"/>
          <w:marRight w:val="0"/>
          <w:marTop w:val="0"/>
          <w:marBottom w:val="0"/>
          <w:divBdr>
            <w:top w:val="none" w:sz="0" w:space="0" w:color="auto"/>
            <w:left w:val="none" w:sz="0" w:space="0" w:color="auto"/>
            <w:bottom w:val="none" w:sz="0" w:space="0" w:color="auto"/>
            <w:right w:val="none" w:sz="0" w:space="0" w:color="auto"/>
          </w:divBdr>
          <w:divsChild>
            <w:div w:id="1135678862">
              <w:marLeft w:val="0"/>
              <w:marRight w:val="0"/>
              <w:marTop w:val="0"/>
              <w:marBottom w:val="0"/>
              <w:divBdr>
                <w:top w:val="none" w:sz="0" w:space="0" w:color="auto"/>
                <w:left w:val="none" w:sz="0" w:space="0" w:color="auto"/>
                <w:bottom w:val="none" w:sz="0" w:space="0" w:color="auto"/>
                <w:right w:val="none" w:sz="0" w:space="0" w:color="auto"/>
              </w:divBdr>
              <w:divsChild>
                <w:div w:id="139323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714924">
      <w:bodyDiv w:val="1"/>
      <w:marLeft w:val="0"/>
      <w:marRight w:val="0"/>
      <w:marTop w:val="0"/>
      <w:marBottom w:val="0"/>
      <w:divBdr>
        <w:top w:val="none" w:sz="0" w:space="0" w:color="auto"/>
        <w:left w:val="none" w:sz="0" w:space="0" w:color="auto"/>
        <w:bottom w:val="none" w:sz="0" w:space="0" w:color="auto"/>
        <w:right w:val="none" w:sz="0" w:space="0" w:color="auto"/>
      </w:divBdr>
    </w:div>
    <w:div w:id="1992756093">
      <w:bodyDiv w:val="1"/>
      <w:marLeft w:val="0"/>
      <w:marRight w:val="0"/>
      <w:marTop w:val="0"/>
      <w:marBottom w:val="0"/>
      <w:divBdr>
        <w:top w:val="none" w:sz="0" w:space="0" w:color="auto"/>
        <w:left w:val="none" w:sz="0" w:space="0" w:color="auto"/>
        <w:bottom w:val="none" w:sz="0" w:space="0" w:color="auto"/>
        <w:right w:val="none" w:sz="0" w:space="0" w:color="auto"/>
      </w:divBdr>
    </w:div>
    <w:div w:id="1996764983">
      <w:bodyDiv w:val="1"/>
      <w:marLeft w:val="0"/>
      <w:marRight w:val="0"/>
      <w:marTop w:val="0"/>
      <w:marBottom w:val="0"/>
      <w:divBdr>
        <w:top w:val="none" w:sz="0" w:space="0" w:color="auto"/>
        <w:left w:val="none" w:sz="0" w:space="0" w:color="auto"/>
        <w:bottom w:val="none" w:sz="0" w:space="0" w:color="auto"/>
        <w:right w:val="none" w:sz="0" w:space="0" w:color="auto"/>
      </w:divBdr>
    </w:div>
    <w:div w:id="2007897443">
      <w:bodyDiv w:val="1"/>
      <w:marLeft w:val="0"/>
      <w:marRight w:val="0"/>
      <w:marTop w:val="0"/>
      <w:marBottom w:val="0"/>
      <w:divBdr>
        <w:top w:val="none" w:sz="0" w:space="0" w:color="auto"/>
        <w:left w:val="none" w:sz="0" w:space="0" w:color="auto"/>
        <w:bottom w:val="none" w:sz="0" w:space="0" w:color="auto"/>
        <w:right w:val="none" w:sz="0" w:space="0" w:color="auto"/>
      </w:divBdr>
    </w:div>
    <w:div w:id="2018267328">
      <w:bodyDiv w:val="1"/>
      <w:marLeft w:val="0"/>
      <w:marRight w:val="0"/>
      <w:marTop w:val="0"/>
      <w:marBottom w:val="0"/>
      <w:divBdr>
        <w:top w:val="none" w:sz="0" w:space="0" w:color="auto"/>
        <w:left w:val="none" w:sz="0" w:space="0" w:color="auto"/>
        <w:bottom w:val="none" w:sz="0" w:space="0" w:color="auto"/>
        <w:right w:val="none" w:sz="0" w:space="0" w:color="auto"/>
      </w:divBdr>
    </w:div>
    <w:div w:id="2023435002">
      <w:bodyDiv w:val="1"/>
      <w:marLeft w:val="0"/>
      <w:marRight w:val="0"/>
      <w:marTop w:val="0"/>
      <w:marBottom w:val="0"/>
      <w:divBdr>
        <w:top w:val="none" w:sz="0" w:space="0" w:color="auto"/>
        <w:left w:val="none" w:sz="0" w:space="0" w:color="auto"/>
        <w:bottom w:val="none" w:sz="0" w:space="0" w:color="auto"/>
        <w:right w:val="none" w:sz="0" w:space="0" w:color="auto"/>
      </w:divBdr>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47560953">
      <w:bodyDiv w:val="1"/>
      <w:marLeft w:val="0"/>
      <w:marRight w:val="0"/>
      <w:marTop w:val="0"/>
      <w:marBottom w:val="0"/>
      <w:divBdr>
        <w:top w:val="none" w:sz="0" w:space="0" w:color="auto"/>
        <w:left w:val="none" w:sz="0" w:space="0" w:color="auto"/>
        <w:bottom w:val="none" w:sz="0" w:space="0" w:color="auto"/>
        <w:right w:val="none" w:sz="0" w:space="0" w:color="auto"/>
      </w:divBdr>
    </w:div>
    <w:div w:id="2047607808">
      <w:bodyDiv w:val="1"/>
      <w:marLeft w:val="0"/>
      <w:marRight w:val="0"/>
      <w:marTop w:val="0"/>
      <w:marBottom w:val="0"/>
      <w:divBdr>
        <w:top w:val="none" w:sz="0" w:space="0" w:color="auto"/>
        <w:left w:val="none" w:sz="0" w:space="0" w:color="auto"/>
        <w:bottom w:val="none" w:sz="0" w:space="0" w:color="auto"/>
        <w:right w:val="none" w:sz="0" w:space="0" w:color="auto"/>
      </w:divBdr>
      <w:divsChild>
        <w:div w:id="1163088268">
          <w:marLeft w:val="0"/>
          <w:marRight w:val="0"/>
          <w:marTop w:val="0"/>
          <w:marBottom w:val="0"/>
          <w:divBdr>
            <w:top w:val="none" w:sz="0" w:space="0" w:color="auto"/>
            <w:left w:val="none" w:sz="0" w:space="0" w:color="auto"/>
            <w:bottom w:val="none" w:sz="0" w:space="0" w:color="auto"/>
            <w:right w:val="none" w:sz="0" w:space="0" w:color="auto"/>
          </w:divBdr>
          <w:divsChild>
            <w:div w:id="571163251">
              <w:marLeft w:val="0"/>
              <w:marRight w:val="0"/>
              <w:marTop w:val="0"/>
              <w:marBottom w:val="0"/>
              <w:divBdr>
                <w:top w:val="none" w:sz="0" w:space="0" w:color="auto"/>
                <w:left w:val="none" w:sz="0" w:space="0" w:color="auto"/>
                <w:bottom w:val="none" w:sz="0" w:space="0" w:color="auto"/>
                <w:right w:val="none" w:sz="0" w:space="0" w:color="auto"/>
              </w:divBdr>
              <w:divsChild>
                <w:div w:id="19375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874011">
      <w:bodyDiv w:val="1"/>
      <w:marLeft w:val="0"/>
      <w:marRight w:val="0"/>
      <w:marTop w:val="0"/>
      <w:marBottom w:val="0"/>
      <w:divBdr>
        <w:top w:val="none" w:sz="0" w:space="0" w:color="auto"/>
        <w:left w:val="none" w:sz="0" w:space="0" w:color="auto"/>
        <w:bottom w:val="none" w:sz="0" w:space="0" w:color="auto"/>
        <w:right w:val="none" w:sz="0" w:space="0" w:color="auto"/>
      </w:divBdr>
    </w:div>
    <w:div w:id="2049063076">
      <w:bodyDiv w:val="1"/>
      <w:marLeft w:val="0"/>
      <w:marRight w:val="0"/>
      <w:marTop w:val="0"/>
      <w:marBottom w:val="0"/>
      <w:divBdr>
        <w:top w:val="none" w:sz="0" w:space="0" w:color="auto"/>
        <w:left w:val="none" w:sz="0" w:space="0" w:color="auto"/>
        <w:bottom w:val="none" w:sz="0" w:space="0" w:color="auto"/>
        <w:right w:val="none" w:sz="0" w:space="0" w:color="auto"/>
      </w:divBdr>
    </w:div>
    <w:div w:id="2066637013">
      <w:bodyDiv w:val="1"/>
      <w:marLeft w:val="0"/>
      <w:marRight w:val="0"/>
      <w:marTop w:val="0"/>
      <w:marBottom w:val="0"/>
      <w:divBdr>
        <w:top w:val="none" w:sz="0" w:space="0" w:color="auto"/>
        <w:left w:val="none" w:sz="0" w:space="0" w:color="auto"/>
        <w:bottom w:val="none" w:sz="0" w:space="0" w:color="auto"/>
        <w:right w:val="none" w:sz="0" w:space="0" w:color="auto"/>
      </w:divBdr>
    </w:div>
    <w:div w:id="2067219535">
      <w:bodyDiv w:val="1"/>
      <w:marLeft w:val="0"/>
      <w:marRight w:val="0"/>
      <w:marTop w:val="0"/>
      <w:marBottom w:val="0"/>
      <w:divBdr>
        <w:top w:val="none" w:sz="0" w:space="0" w:color="auto"/>
        <w:left w:val="none" w:sz="0" w:space="0" w:color="auto"/>
        <w:bottom w:val="none" w:sz="0" w:space="0" w:color="auto"/>
        <w:right w:val="none" w:sz="0" w:space="0" w:color="auto"/>
      </w:divBdr>
      <w:divsChild>
        <w:div w:id="1079056652">
          <w:marLeft w:val="0"/>
          <w:marRight w:val="0"/>
          <w:marTop w:val="0"/>
          <w:marBottom w:val="0"/>
          <w:divBdr>
            <w:top w:val="none" w:sz="0" w:space="0" w:color="auto"/>
            <w:left w:val="none" w:sz="0" w:space="0" w:color="auto"/>
            <w:bottom w:val="none" w:sz="0" w:space="0" w:color="auto"/>
            <w:right w:val="none" w:sz="0" w:space="0" w:color="auto"/>
          </w:divBdr>
          <w:divsChild>
            <w:div w:id="2128892739">
              <w:marLeft w:val="0"/>
              <w:marRight w:val="0"/>
              <w:marTop w:val="0"/>
              <w:marBottom w:val="0"/>
              <w:divBdr>
                <w:top w:val="none" w:sz="0" w:space="0" w:color="auto"/>
                <w:left w:val="none" w:sz="0" w:space="0" w:color="auto"/>
                <w:bottom w:val="none" w:sz="0" w:space="0" w:color="auto"/>
                <w:right w:val="none" w:sz="0" w:space="0" w:color="auto"/>
              </w:divBdr>
              <w:divsChild>
                <w:div w:id="1299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227918">
      <w:bodyDiv w:val="1"/>
      <w:marLeft w:val="0"/>
      <w:marRight w:val="0"/>
      <w:marTop w:val="0"/>
      <w:marBottom w:val="0"/>
      <w:divBdr>
        <w:top w:val="none" w:sz="0" w:space="0" w:color="auto"/>
        <w:left w:val="none" w:sz="0" w:space="0" w:color="auto"/>
        <w:bottom w:val="none" w:sz="0" w:space="0" w:color="auto"/>
        <w:right w:val="none" w:sz="0" w:space="0" w:color="auto"/>
      </w:divBdr>
    </w:div>
    <w:div w:id="2083213215">
      <w:bodyDiv w:val="1"/>
      <w:marLeft w:val="0"/>
      <w:marRight w:val="0"/>
      <w:marTop w:val="0"/>
      <w:marBottom w:val="0"/>
      <w:divBdr>
        <w:top w:val="none" w:sz="0" w:space="0" w:color="auto"/>
        <w:left w:val="none" w:sz="0" w:space="0" w:color="auto"/>
        <w:bottom w:val="none" w:sz="0" w:space="0" w:color="auto"/>
        <w:right w:val="none" w:sz="0" w:space="0" w:color="auto"/>
      </w:divBdr>
      <w:divsChild>
        <w:div w:id="2073193173">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091147411">
      <w:bodyDiv w:val="1"/>
      <w:marLeft w:val="0"/>
      <w:marRight w:val="0"/>
      <w:marTop w:val="0"/>
      <w:marBottom w:val="0"/>
      <w:divBdr>
        <w:top w:val="none" w:sz="0" w:space="0" w:color="auto"/>
        <w:left w:val="none" w:sz="0" w:space="0" w:color="auto"/>
        <w:bottom w:val="none" w:sz="0" w:space="0" w:color="auto"/>
        <w:right w:val="none" w:sz="0" w:space="0" w:color="auto"/>
      </w:divBdr>
    </w:div>
    <w:div w:id="2094161173">
      <w:bodyDiv w:val="1"/>
      <w:marLeft w:val="0"/>
      <w:marRight w:val="0"/>
      <w:marTop w:val="0"/>
      <w:marBottom w:val="0"/>
      <w:divBdr>
        <w:top w:val="none" w:sz="0" w:space="0" w:color="auto"/>
        <w:left w:val="none" w:sz="0" w:space="0" w:color="auto"/>
        <w:bottom w:val="none" w:sz="0" w:space="0" w:color="auto"/>
        <w:right w:val="none" w:sz="0" w:space="0" w:color="auto"/>
      </w:divBdr>
    </w:div>
    <w:div w:id="2094430996">
      <w:bodyDiv w:val="1"/>
      <w:marLeft w:val="0"/>
      <w:marRight w:val="0"/>
      <w:marTop w:val="0"/>
      <w:marBottom w:val="0"/>
      <w:divBdr>
        <w:top w:val="none" w:sz="0" w:space="0" w:color="auto"/>
        <w:left w:val="none" w:sz="0" w:space="0" w:color="auto"/>
        <w:bottom w:val="none" w:sz="0" w:space="0" w:color="auto"/>
        <w:right w:val="none" w:sz="0" w:space="0" w:color="auto"/>
      </w:divBdr>
      <w:divsChild>
        <w:div w:id="208960052">
          <w:marLeft w:val="375"/>
          <w:marRight w:val="375"/>
          <w:marTop w:val="720"/>
          <w:marBottom w:val="0"/>
          <w:divBdr>
            <w:top w:val="none" w:sz="0" w:space="0" w:color="auto"/>
            <w:left w:val="none" w:sz="0" w:space="0" w:color="auto"/>
            <w:bottom w:val="none" w:sz="0" w:space="0" w:color="auto"/>
            <w:right w:val="none" w:sz="0" w:space="0" w:color="auto"/>
          </w:divBdr>
        </w:div>
        <w:div w:id="1034772386">
          <w:marLeft w:val="375"/>
          <w:marRight w:val="0"/>
          <w:marTop w:val="180"/>
          <w:marBottom w:val="0"/>
          <w:divBdr>
            <w:top w:val="none" w:sz="0" w:space="0" w:color="auto"/>
            <w:left w:val="none" w:sz="0" w:space="0" w:color="auto"/>
            <w:bottom w:val="none" w:sz="0" w:space="0" w:color="auto"/>
            <w:right w:val="none" w:sz="0" w:space="0" w:color="auto"/>
          </w:divBdr>
        </w:div>
      </w:divsChild>
    </w:div>
    <w:div w:id="2095542229">
      <w:bodyDiv w:val="1"/>
      <w:marLeft w:val="0"/>
      <w:marRight w:val="0"/>
      <w:marTop w:val="0"/>
      <w:marBottom w:val="0"/>
      <w:divBdr>
        <w:top w:val="none" w:sz="0" w:space="0" w:color="auto"/>
        <w:left w:val="none" w:sz="0" w:space="0" w:color="auto"/>
        <w:bottom w:val="none" w:sz="0" w:space="0" w:color="auto"/>
        <w:right w:val="none" w:sz="0" w:space="0" w:color="auto"/>
      </w:divBdr>
    </w:div>
    <w:div w:id="2098596459">
      <w:bodyDiv w:val="1"/>
      <w:marLeft w:val="0"/>
      <w:marRight w:val="0"/>
      <w:marTop w:val="0"/>
      <w:marBottom w:val="0"/>
      <w:divBdr>
        <w:top w:val="none" w:sz="0" w:space="0" w:color="auto"/>
        <w:left w:val="none" w:sz="0" w:space="0" w:color="auto"/>
        <w:bottom w:val="none" w:sz="0" w:space="0" w:color="auto"/>
        <w:right w:val="none" w:sz="0" w:space="0" w:color="auto"/>
      </w:divBdr>
    </w:div>
    <w:div w:id="2100901022">
      <w:bodyDiv w:val="1"/>
      <w:marLeft w:val="0"/>
      <w:marRight w:val="0"/>
      <w:marTop w:val="0"/>
      <w:marBottom w:val="0"/>
      <w:divBdr>
        <w:top w:val="none" w:sz="0" w:space="0" w:color="auto"/>
        <w:left w:val="none" w:sz="0" w:space="0" w:color="auto"/>
        <w:bottom w:val="none" w:sz="0" w:space="0" w:color="auto"/>
        <w:right w:val="none" w:sz="0" w:space="0" w:color="auto"/>
      </w:divBdr>
    </w:div>
    <w:div w:id="2109158038">
      <w:bodyDiv w:val="1"/>
      <w:marLeft w:val="0"/>
      <w:marRight w:val="0"/>
      <w:marTop w:val="0"/>
      <w:marBottom w:val="0"/>
      <w:divBdr>
        <w:top w:val="none" w:sz="0" w:space="0" w:color="auto"/>
        <w:left w:val="none" w:sz="0" w:space="0" w:color="auto"/>
        <w:bottom w:val="none" w:sz="0" w:space="0" w:color="auto"/>
        <w:right w:val="none" w:sz="0" w:space="0" w:color="auto"/>
      </w:divBdr>
    </w:div>
    <w:div w:id="2112506187">
      <w:bodyDiv w:val="1"/>
      <w:marLeft w:val="0"/>
      <w:marRight w:val="0"/>
      <w:marTop w:val="0"/>
      <w:marBottom w:val="0"/>
      <w:divBdr>
        <w:top w:val="none" w:sz="0" w:space="0" w:color="auto"/>
        <w:left w:val="none" w:sz="0" w:space="0" w:color="auto"/>
        <w:bottom w:val="none" w:sz="0" w:space="0" w:color="auto"/>
        <w:right w:val="none" w:sz="0" w:space="0" w:color="auto"/>
      </w:divBdr>
      <w:divsChild>
        <w:div w:id="793795000">
          <w:marLeft w:val="0"/>
          <w:marRight w:val="0"/>
          <w:marTop w:val="0"/>
          <w:marBottom w:val="0"/>
          <w:divBdr>
            <w:top w:val="none" w:sz="0" w:space="0" w:color="auto"/>
            <w:left w:val="none" w:sz="0" w:space="0" w:color="auto"/>
            <w:bottom w:val="none" w:sz="0" w:space="0" w:color="auto"/>
            <w:right w:val="none" w:sz="0" w:space="0" w:color="auto"/>
          </w:divBdr>
          <w:divsChild>
            <w:div w:id="1342198664">
              <w:marLeft w:val="0"/>
              <w:marRight w:val="0"/>
              <w:marTop w:val="0"/>
              <w:marBottom w:val="0"/>
              <w:divBdr>
                <w:top w:val="none" w:sz="0" w:space="0" w:color="auto"/>
                <w:left w:val="none" w:sz="0" w:space="0" w:color="auto"/>
                <w:bottom w:val="none" w:sz="0" w:space="0" w:color="auto"/>
                <w:right w:val="none" w:sz="0" w:space="0" w:color="auto"/>
              </w:divBdr>
              <w:divsChild>
                <w:div w:id="576283907">
                  <w:marLeft w:val="0"/>
                  <w:marRight w:val="0"/>
                  <w:marTop w:val="0"/>
                  <w:marBottom w:val="0"/>
                  <w:divBdr>
                    <w:top w:val="none" w:sz="0" w:space="0" w:color="auto"/>
                    <w:left w:val="none" w:sz="0" w:space="0" w:color="auto"/>
                    <w:bottom w:val="none" w:sz="0" w:space="0" w:color="auto"/>
                    <w:right w:val="none" w:sz="0" w:space="0" w:color="auto"/>
                  </w:divBdr>
                  <w:divsChild>
                    <w:div w:id="1991519416">
                      <w:marLeft w:val="0"/>
                      <w:marRight w:val="0"/>
                      <w:marTop w:val="0"/>
                      <w:marBottom w:val="0"/>
                      <w:divBdr>
                        <w:top w:val="none" w:sz="0" w:space="0" w:color="auto"/>
                        <w:left w:val="none" w:sz="0" w:space="0" w:color="auto"/>
                        <w:bottom w:val="none" w:sz="0" w:space="0" w:color="auto"/>
                        <w:right w:val="none" w:sz="0" w:space="0" w:color="auto"/>
                      </w:divBdr>
                    </w:div>
                  </w:divsChild>
                </w:div>
                <w:div w:id="1797018311">
                  <w:marLeft w:val="0"/>
                  <w:marRight w:val="0"/>
                  <w:marTop w:val="0"/>
                  <w:marBottom w:val="0"/>
                  <w:divBdr>
                    <w:top w:val="none" w:sz="0" w:space="0" w:color="auto"/>
                    <w:left w:val="none" w:sz="0" w:space="0" w:color="auto"/>
                    <w:bottom w:val="none" w:sz="0" w:space="0" w:color="auto"/>
                    <w:right w:val="none" w:sz="0" w:space="0" w:color="auto"/>
                  </w:divBdr>
                  <w:divsChild>
                    <w:div w:id="111255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862121">
      <w:bodyDiv w:val="1"/>
      <w:marLeft w:val="0"/>
      <w:marRight w:val="0"/>
      <w:marTop w:val="0"/>
      <w:marBottom w:val="0"/>
      <w:divBdr>
        <w:top w:val="none" w:sz="0" w:space="0" w:color="auto"/>
        <w:left w:val="none" w:sz="0" w:space="0" w:color="auto"/>
        <w:bottom w:val="none" w:sz="0" w:space="0" w:color="auto"/>
        <w:right w:val="none" w:sz="0" w:space="0" w:color="auto"/>
      </w:divBdr>
    </w:div>
    <w:div w:id="2124179606">
      <w:bodyDiv w:val="1"/>
      <w:marLeft w:val="0"/>
      <w:marRight w:val="0"/>
      <w:marTop w:val="0"/>
      <w:marBottom w:val="0"/>
      <w:divBdr>
        <w:top w:val="none" w:sz="0" w:space="0" w:color="auto"/>
        <w:left w:val="none" w:sz="0" w:space="0" w:color="auto"/>
        <w:bottom w:val="none" w:sz="0" w:space="0" w:color="auto"/>
        <w:right w:val="none" w:sz="0" w:space="0" w:color="auto"/>
      </w:divBdr>
    </w:div>
    <w:div w:id="2125541717">
      <w:bodyDiv w:val="1"/>
      <w:marLeft w:val="0"/>
      <w:marRight w:val="0"/>
      <w:marTop w:val="0"/>
      <w:marBottom w:val="0"/>
      <w:divBdr>
        <w:top w:val="none" w:sz="0" w:space="0" w:color="auto"/>
        <w:left w:val="none" w:sz="0" w:space="0" w:color="auto"/>
        <w:bottom w:val="none" w:sz="0" w:space="0" w:color="auto"/>
        <w:right w:val="none" w:sz="0" w:space="0" w:color="auto"/>
      </w:divBdr>
      <w:divsChild>
        <w:div w:id="1932464429">
          <w:marLeft w:val="0"/>
          <w:marRight w:val="0"/>
          <w:marTop w:val="0"/>
          <w:marBottom w:val="0"/>
          <w:divBdr>
            <w:top w:val="none" w:sz="0" w:space="0" w:color="auto"/>
            <w:left w:val="none" w:sz="0" w:space="0" w:color="auto"/>
            <w:bottom w:val="none" w:sz="0" w:space="0" w:color="auto"/>
            <w:right w:val="none" w:sz="0" w:space="0" w:color="auto"/>
          </w:divBdr>
        </w:div>
        <w:div w:id="923807273">
          <w:marLeft w:val="0"/>
          <w:marRight w:val="0"/>
          <w:marTop w:val="0"/>
          <w:marBottom w:val="0"/>
          <w:divBdr>
            <w:top w:val="none" w:sz="0" w:space="0" w:color="auto"/>
            <w:left w:val="none" w:sz="0" w:space="0" w:color="auto"/>
            <w:bottom w:val="none" w:sz="0" w:space="0" w:color="auto"/>
            <w:right w:val="none" w:sz="0" w:space="0" w:color="auto"/>
          </w:divBdr>
          <w:divsChild>
            <w:div w:id="1885555929">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 w:id="2126193518">
      <w:bodyDiv w:val="1"/>
      <w:marLeft w:val="0"/>
      <w:marRight w:val="0"/>
      <w:marTop w:val="0"/>
      <w:marBottom w:val="0"/>
      <w:divBdr>
        <w:top w:val="none" w:sz="0" w:space="0" w:color="auto"/>
        <w:left w:val="none" w:sz="0" w:space="0" w:color="auto"/>
        <w:bottom w:val="none" w:sz="0" w:space="0" w:color="auto"/>
        <w:right w:val="none" w:sz="0" w:space="0" w:color="auto"/>
      </w:divBdr>
    </w:div>
    <w:div w:id="2134901127">
      <w:bodyDiv w:val="1"/>
      <w:marLeft w:val="0"/>
      <w:marRight w:val="0"/>
      <w:marTop w:val="0"/>
      <w:marBottom w:val="0"/>
      <w:divBdr>
        <w:top w:val="none" w:sz="0" w:space="0" w:color="auto"/>
        <w:left w:val="none" w:sz="0" w:space="0" w:color="auto"/>
        <w:bottom w:val="none" w:sz="0" w:space="0" w:color="auto"/>
        <w:right w:val="none" w:sz="0" w:space="0" w:color="auto"/>
      </w:divBdr>
    </w:div>
    <w:div w:id="2142993140">
      <w:bodyDiv w:val="1"/>
      <w:marLeft w:val="0"/>
      <w:marRight w:val="0"/>
      <w:marTop w:val="0"/>
      <w:marBottom w:val="0"/>
      <w:divBdr>
        <w:top w:val="none" w:sz="0" w:space="0" w:color="auto"/>
        <w:left w:val="none" w:sz="0" w:space="0" w:color="auto"/>
        <w:bottom w:val="none" w:sz="0" w:space="0" w:color="auto"/>
        <w:right w:val="none" w:sz="0" w:space="0" w:color="auto"/>
      </w:divBdr>
    </w:div>
    <w:div w:id="21456608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www.graphpad.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7526FC48-53C4-B64E-BB99-AC556BADD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97</Pages>
  <Words>24652</Words>
  <Characters>140518</Characters>
  <Application>Microsoft Office Word</Application>
  <DocSecurity>0</DocSecurity>
  <Lines>1170</Lines>
  <Paragraphs>329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164841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dc:creator>
  <cp:lastModifiedBy>Francesca Angiolani</cp:lastModifiedBy>
  <cp:revision>5</cp:revision>
  <cp:lastPrinted>2021-11-11T14:38:00Z</cp:lastPrinted>
  <dcterms:created xsi:type="dcterms:W3CDTF">2026-01-14T10:03:00Z</dcterms:created>
  <dcterms:modified xsi:type="dcterms:W3CDTF">2026-05-13T08:11:00Z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2022-05-26T21:10:00Z</vt:lpwstr>
  </property>
  <property fmtid="{D5CDD505-2E9C-101B-9397-08002B2CF9AE}" pid="4" name="MSIP_Label_ea60d57e-af5b-4752-ac57-3e4f28ca11dc_Method">
    <vt:lpwstr>Privileged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7e58331c-4f0d-457b-9f6f-bd44282fbc3e</vt:lpwstr>
  </property>
  <property fmtid="{D5CDD505-2E9C-101B-9397-08002B2CF9AE}" pid="8" name="MSIP_Label_ea60d57e-af5b-4752-ac57-3e4f28ca11dc_ContentBits">
    <vt:lpwstr>0</vt:lpwstr>
  </property>
  <property fmtid="{D5CDD505-2E9C-101B-9397-08002B2CF9AE}" pid="9" name="MSIP_Label_2e1840fb-8939-4796-95d0-bc833736564d_Enabled">
    <vt:lpwstr>true</vt:lpwstr>
  </property>
  <property fmtid="{D5CDD505-2E9C-101B-9397-08002B2CF9AE}" pid="10" name="MSIP_Label_2e1840fb-8939-4796-95d0-bc833736564d_SetDate">
    <vt:lpwstr>2026-01-13T22:38:30Z</vt:lpwstr>
  </property>
  <property fmtid="{D5CDD505-2E9C-101B-9397-08002B2CF9AE}" pid="11" name="MSIP_Label_2e1840fb-8939-4796-95d0-bc833736564d_Method">
    <vt:lpwstr>Standard</vt:lpwstr>
  </property>
  <property fmtid="{D5CDD505-2E9C-101B-9397-08002B2CF9AE}" pid="12" name="MSIP_Label_2e1840fb-8939-4796-95d0-bc833736564d_Name">
    <vt:lpwstr>Confidential - Open Access</vt:lpwstr>
  </property>
  <property fmtid="{D5CDD505-2E9C-101B-9397-08002B2CF9AE}" pid="13" name="MSIP_Label_2e1840fb-8939-4796-95d0-bc833736564d_SiteId">
    <vt:lpwstr>513294a0-3e20-41b2-a970-6d30bf1546fa</vt:lpwstr>
  </property>
  <property fmtid="{D5CDD505-2E9C-101B-9397-08002B2CF9AE}" pid="14" name="MSIP_Label_2e1840fb-8939-4796-95d0-bc833736564d_ActionId">
    <vt:lpwstr>00e3d8b7-f8fa-460e-9a3c-ab33b5221fdb</vt:lpwstr>
  </property>
  <property fmtid="{D5CDD505-2E9C-101B-9397-08002B2CF9AE}" pid="15" name="MSIP_Label_2e1840fb-8939-4796-95d0-bc833736564d_ContentBits">
    <vt:lpwstr>0</vt:lpwstr>
  </property>
  <property fmtid="{D5CDD505-2E9C-101B-9397-08002B2CF9AE}" pid="16" name="MSIP_Label_2e1840fb-8939-4796-95d0-bc833736564d_Tag">
    <vt:lpwstr>10, 3, 0, 1</vt:lpwstr>
  </property>
</Properties>
</file>